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00" w:firstRow="0" w:lastRow="0" w:firstColumn="0" w:lastColumn="0" w:noHBand="0" w:noVBand="0"/>
      </w:tblPr>
      <w:tblGrid>
        <w:gridCol w:w="6912"/>
        <w:gridCol w:w="3402"/>
      </w:tblGrid>
      <w:tr w:rsidR="00242633" w:rsidRPr="00544A8D" w:rsidTr="00951B2B">
        <w:tc>
          <w:tcPr>
            <w:tcW w:w="6912" w:type="dxa"/>
          </w:tcPr>
          <w:p w:rsidR="00242633" w:rsidRPr="00544A8D" w:rsidRDefault="00242633" w:rsidP="00544A8D">
            <w:pPr>
              <w:pStyle w:val="Heading7"/>
              <w:spacing w:before="60" w:after="60" w:line="288" w:lineRule="auto"/>
              <w:rPr>
                <w:rFonts w:ascii="Arial" w:hAnsi="Arial" w:cs="Arial"/>
                <w:szCs w:val="24"/>
              </w:rPr>
            </w:pPr>
            <w:r w:rsidRPr="004D6D0C">
              <w:rPr>
                <w:rFonts w:ascii="Arial" w:hAnsi="Arial" w:cs="Arial"/>
                <w:szCs w:val="24"/>
              </w:rPr>
              <w:t>WEST LONDON WASTE AUTHORITY</w:t>
            </w:r>
          </w:p>
        </w:tc>
        <w:tc>
          <w:tcPr>
            <w:tcW w:w="3402" w:type="dxa"/>
          </w:tcPr>
          <w:p w:rsidR="00242633" w:rsidRPr="00544A8D" w:rsidRDefault="00242633" w:rsidP="00544A8D">
            <w:pPr>
              <w:spacing w:before="60" w:after="60" w:line="288" w:lineRule="auto"/>
              <w:ind w:right="317"/>
              <w:jc w:val="right"/>
              <w:rPr>
                <w:rFonts w:ascii="Arial" w:hAnsi="Arial" w:cs="Arial"/>
                <w:szCs w:val="24"/>
              </w:rPr>
            </w:pPr>
          </w:p>
        </w:tc>
      </w:tr>
      <w:tr w:rsidR="00242633" w:rsidRPr="00544A8D" w:rsidTr="00951B2B">
        <w:tc>
          <w:tcPr>
            <w:tcW w:w="6912" w:type="dxa"/>
          </w:tcPr>
          <w:p w:rsidR="00242633" w:rsidRPr="00544A8D" w:rsidRDefault="00242633" w:rsidP="005C4464">
            <w:pPr>
              <w:spacing w:before="60" w:after="60" w:line="288" w:lineRule="auto"/>
              <w:rPr>
                <w:rFonts w:ascii="Arial" w:hAnsi="Arial" w:cs="Arial"/>
                <w:szCs w:val="24"/>
              </w:rPr>
            </w:pPr>
            <w:r w:rsidRPr="00544A8D">
              <w:rPr>
                <w:rFonts w:ascii="Arial" w:hAnsi="Arial" w:cs="Arial"/>
                <w:szCs w:val="24"/>
              </w:rPr>
              <w:t xml:space="preserve">Report of the </w:t>
            </w:r>
            <w:r w:rsidR="005C4464">
              <w:rPr>
                <w:rFonts w:ascii="Arial" w:hAnsi="Arial" w:cs="Arial"/>
                <w:szCs w:val="24"/>
              </w:rPr>
              <w:t>Managing Director</w:t>
            </w:r>
            <w:r w:rsidR="00815450" w:rsidRPr="00544A8D">
              <w:rPr>
                <w:rFonts w:ascii="Arial" w:hAnsi="Arial" w:cs="Arial"/>
                <w:szCs w:val="24"/>
              </w:rPr>
              <w:t xml:space="preserve"> </w:t>
            </w:r>
          </w:p>
        </w:tc>
        <w:tc>
          <w:tcPr>
            <w:tcW w:w="3402" w:type="dxa"/>
          </w:tcPr>
          <w:p w:rsidR="00242633" w:rsidRPr="00544A8D" w:rsidRDefault="00157CE5" w:rsidP="00781D08">
            <w:pPr>
              <w:spacing w:before="60" w:after="60" w:line="288" w:lineRule="auto"/>
              <w:ind w:left="34"/>
              <w:jc w:val="right"/>
              <w:rPr>
                <w:rFonts w:ascii="Arial" w:hAnsi="Arial" w:cs="Arial"/>
                <w:szCs w:val="24"/>
              </w:rPr>
            </w:pPr>
            <w:r w:rsidRPr="00544A8D">
              <w:rPr>
                <w:rFonts w:ascii="Arial" w:hAnsi="Arial" w:cs="Arial"/>
                <w:szCs w:val="24"/>
              </w:rPr>
              <w:t>2</w:t>
            </w:r>
            <w:r w:rsidR="00A61CCD">
              <w:rPr>
                <w:rFonts w:ascii="Arial" w:hAnsi="Arial" w:cs="Arial"/>
                <w:szCs w:val="24"/>
              </w:rPr>
              <w:t>3</w:t>
            </w:r>
            <w:r w:rsidR="005C4464">
              <w:rPr>
                <w:rFonts w:ascii="Arial" w:hAnsi="Arial" w:cs="Arial"/>
                <w:szCs w:val="24"/>
              </w:rPr>
              <w:t xml:space="preserve"> </w:t>
            </w:r>
            <w:r w:rsidR="00781D08">
              <w:rPr>
                <w:rFonts w:ascii="Arial" w:hAnsi="Arial" w:cs="Arial"/>
                <w:szCs w:val="24"/>
              </w:rPr>
              <w:t>June</w:t>
            </w:r>
            <w:r w:rsidR="00C332F4" w:rsidRPr="00544A8D">
              <w:rPr>
                <w:rFonts w:ascii="Arial" w:hAnsi="Arial" w:cs="Arial"/>
                <w:szCs w:val="24"/>
              </w:rPr>
              <w:t xml:space="preserve"> 20</w:t>
            </w:r>
            <w:r w:rsidR="003B5566" w:rsidRPr="00544A8D">
              <w:rPr>
                <w:rFonts w:ascii="Arial" w:hAnsi="Arial" w:cs="Arial"/>
                <w:szCs w:val="24"/>
              </w:rPr>
              <w:t>2</w:t>
            </w:r>
            <w:r w:rsidR="00781D08">
              <w:rPr>
                <w:rFonts w:ascii="Arial" w:hAnsi="Arial" w:cs="Arial"/>
                <w:szCs w:val="24"/>
              </w:rPr>
              <w:t>3</w:t>
            </w:r>
          </w:p>
        </w:tc>
      </w:tr>
      <w:tr w:rsidR="00242633" w:rsidRPr="00544A8D" w:rsidTr="00B4682A">
        <w:trPr>
          <w:cantSplit/>
        </w:trPr>
        <w:tc>
          <w:tcPr>
            <w:tcW w:w="10314" w:type="dxa"/>
            <w:gridSpan w:val="2"/>
            <w:vAlign w:val="center"/>
          </w:tcPr>
          <w:p w:rsidR="004D6D0C" w:rsidRPr="00544A8D" w:rsidRDefault="001C3B61" w:rsidP="00024ED4">
            <w:pPr>
              <w:spacing w:before="60" w:after="60" w:line="288" w:lineRule="auto"/>
              <w:jc w:val="left"/>
              <w:rPr>
                <w:rFonts w:ascii="Arial" w:hAnsi="Arial" w:cs="Arial"/>
                <w:b/>
                <w:szCs w:val="24"/>
              </w:rPr>
            </w:pPr>
            <w:r>
              <w:rPr>
                <w:rFonts w:ascii="Arial" w:hAnsi="Arial" w:cs="Arial"/>
                <w:b/>
                <w:sz w:val="28"/>
                <w:szCs w:val="24"/>
              </w:rPr>
              <w:t xml:space="preserve">WLWA </w:t>
            </w:r>
            <w:r w:rsidR="00400C2F">
              <w:rPr>
                <w:rFonts w:ascii="Arial" w:hAnsi="Arial" w:cs="Arial"/>
                <w:b/>
                <w:sz w:val="28"/>
                <w:szCs w:val="24"/>
              </w:rPr>
              <w:t>202</w:t>
            </w:r>
            <w:r w:rsidR="00024ED4">
              <w:rPr>
                <w:rFonts w:ascii="Arial" w:hAnsi="Arial" w:cs="Arial"/>
                <w:b/>
                <w:sz w:val="28"/>
                <w:szCs w:val="24"/>
              </w:rPr>
              <w:t>2-23</w:t>
            </w:r>
            <w:r w:rsidR="00400C2F">
              <w:rPr>
                <w:rFonts w:ascii="Arial" w:hAnsi="Arial" w:cs="Arial"/>
                <w:b/>
                <w:sz w:val="28"/>
                <w:szCs w:val="24"/>
              </w:rPr>
              <w:t xml:space="preserve"> </w:t>
            </w:r>
            <w:r w:rsidR="005066C5" w:rsidRPr="00544A8D">
              <w:rPr>
                <w:rFonts w:ascii="Arial" w:hAnsi="Arial" w:cs="Arial"/>
                <w:b/>
                <w:sz w:val="28"/>
                <w:szCs w:val="24"/>
              </w:rPr>
              <w:t>Business Plan</w:t>
            </w:r>
          </w:p>
        </w:tc>
      </w:tr>
      <w:tr w:rsidR="00242633" w:rsidRPr="00544A8D" w:rsidTr="00951B2B">
        <w:trPr>
          <w:cantSplit/>
        </w:trPr>
        <w:tc>
          <w:tcPr>
            <w:tcW w:w="10314" w:type="dxa"/>
            <w:gridSpan w:val="2"/>
            <w:tcBorders>
              <w:top w:val="single" w:sz="4" w:space="0" w:color="auto"/>
              <w:left w:val="single" w:sz="4" w:space="0" w:color="auto"/>
              <w:right w:val="single" w:sz="4" w:space="0" w:color="auto"/>
            </w:tcBorders>
          </w:tcPr>
          <w:p w:rsidR="00242633" w:rsidRPr="00544A8D" w:rsidRDefault="00242633" w:rsidP="00544A8D">
            <w:pPr>
              <w:pStyle w:val="Heading2"/>
              <w:spacing w:before="60" w:after="60" w:line="288" w:lineRule="auto"/>
              <w:rPr>
                <w:rFonts w:ascii="Arial" w:hAnsi="Arial" w:cs="Arial"/>
                <w:szCs w:val="24"/>
                <w:lang w:val="en-GB"/>
              </w:rPr>
            </w:pPr>
            <w:r w:rsidRPr="00544A8D">
              <w:rPr>
                <w:rFonts w:ascii="Arial" w:hAnsi="Arial" w:cs="Arial"/>
                <w:szCs w:val="24"/>
                <w:lang w:val="en-GB"/>
              </w:rPr>
              <w:t>SUMMARY</w:t>
            </w:r>
          </w:p>
          <w:p w:rsidR="00A8439A" w:rsidRDefault="00784955" w:rsidP="00A8439A">
            <w:pPr>
              <w:pStyle w:val="BodyText"/>
              <w:spacing w:before="60" w:after="60" w:line="288" w:lineRule="auto"/>
              <w:ind w:left="567" w:firstLine="0"/>
              <w:rPr>
                <w:rFonts w:ascii="Arial" w:hAnsi="Arial" w:cs="Arial"/>
                <w:szCs w:val="24"/>
                <w:lang w:val="en-GB"/>
              </w:rPr>
            </w:pPr>
            <w:r w:rsidRPr="00544A8D">
              <w:rPr>
                <w:rFonts w:ascii="Arial" w:hAnsi="Arial" w:cs="Arial"/>
                <w:szCs w:val="24"/>
                <w:lang w:val="en-GB"/>
              </w:rPr>
              <w:t xml:space="preserve">This report </w:t>
            </w:r>
            <w:r w:rsidR="004E61A9" w:rsidRPr="00544A8D">
              <w:rPr>
                <w:rFonts w:ascii="Arial" w:hAnsi="Arial" w:cs="Arial"/>
                <w:szCs w:val="24"/>
                <w:lang w:val="en-GB"/>
              </w:rPr>
              <w:t>provides</w:t>
            </w:r>
            <w:r w:rsidR="00E54FEF" w:rsidRPr="00544A8D">
              <w:rPr>
                <w:rFonts w:ascii="Arial" w:hAnsi="Arial" w:cs="Arial"/>
                <w:szCs w:val="24"/>
                <w:lang w:val="en-GB"/>
              </w:rPr>
              <w:t xml:space="preserve"> details of the Authority’s </w:t>
            </w:r>
            <w:r w:rsidR="005066C5" w:rsidRPr="00544A8D">
              <w:rPr>
                <w:rFonts w:ascii="Arial" w:hAnsi="Arial" w:cs="Arial"/>
                <w:szCs w:val="24"/>
                <w:lang w:val="en-GB"/>
              </w:rPr>
              <w:t>Business</w:t>
            </w:r>
            <w:r w:rsidR="00E54FEF" w:rsidRPr="00544A8D">
              <w:rPr>
                <w:rFonts w:ascii="Arial" w:hAnsi="Arial" w:cs="Arial"/>
                <w:szCs w:val="24"/>
                <w:lang w:val="en-GB"/>
              </w:rPr>
              <w:t xml:space="preserve"> Plan for </w:t>
            </w:r>
            <w:r w:rsidR="00A8439A">
              <w:rPr>
                <w:rFonts w:ascii="Arial" w:hAnsi="Arial" w:cs="Arial"/>
                <w:szCs w:val="24"/>
                <w:lang w:val="en-GB"/>
              </w:rPr>
              <w:t>2022</w:t>
            </w:r>
            <w:r w:rsidR="00024ED4">
              <w:rPr>
                <w:rFonts w:ascii="Arial" w:hAnsi="Arial" w:cs="Arial"/>
                <w:szCs w:val="24"/>
                <w:lang w:val="en-GB"/>
              </w:rPr>
              <w:t>-</w:t>
            </w:r>
            <w:r w:rsidR="0022542E">
              <w:rPr>
                <w:rFonts w:ascii="Arial" w:hAnsi="Arial" w:cs="Arial"/>
                <w:szCs w:val="24"/>
                <w:lang w:val="en-GB"/>
              </w:rPr>
              <w:t>23</w:t>
            </w:r>
            <w:r w:rsidR="00E74FEA" w:rsidRPr="00544A8D">
              <w:rPr>
                <w:rFonts w:ascii="Arial" w:hAnsi="Arial" w:cs="Arial"/>
                <w:szCs w:val="24"/>
                <w:lang w:val="en-GB"/>
              </w:rPr>
              <w:t xml:space="preserve">.  </w:t>
            </w:r>
            <w:r w:rsidR="00A8439A">
              <w:rPr>
                <w:rFonts w:ascii="Arial" w:hAnsi="Arial" w:cs="Arial"/>
                <w:szCs w:val="24"/>
                <w:lang w:val="en-GB"/>
              </w:rPr>
              <w:t xml:space="preserve">The key points are:  </w:t>
            </w:r>
          </w:p>
          <w:p w:rsidR="00A94E9A" w:rsidRDefault="00A8050E" w:rsidP="00D2652F">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The Business Plan 2022-23 was ambitious and challenging and has driven </w:t>
            </w:r>
            <w:r w:rsidR="00D2652F">
              <w:rPr>
                <w:rFonts w:ascii="Arial" w:hAnsi="Arial" w:cs="Arial"/>
                <w:szCs w:val="24"/>
                <w:lang w:val="en-GB"/>
              </w:rPr>
              <w:t>improvements in how</w:t>
            </w:r>
            <w:r>
              <w:rPr>
                <w:rFonts w:ascii="Arial" w:hAnsi="Arial" w:cs="Arial"/>
                <w:szCs w:val="24"/>
                <w:lang w:val="en-GB"/>
              </w:rPr>
              <w:t xml:space="preserve"> we work.</w:t>
            </w:r>
            <w:r w:rsidR="00D2652F">
              <w:rPr>
                <w:rFonts w:ascii="Arial" w:hAnsi="Arial" w:cs="Arial"/>
                <w:szCs w:val="24"/>
                <w:lang w:val="en-GB"/>
              </w:rPr>
              <w:t xml:space="preserve">  We demonstrated excellence in joint working on net zero, collaborative decision making on waste and resources and joint procurements of services and materials.  We reduced waste, demonstrated better methods of measuring recycling and created budgets for three new, three year strategic programmes.  </w:t>
            </w:r>
            <w:r w:rsidR="005C6BD4">
              <w:rPr>
                <w:rFonts w:ascii="Arial" w:hAnsi="Arial" w:cs="Arial"/>
                <w:szCs w:val="24"/>
                <w:lang w:val="en-GB"/>
              </w:rPr>
              <w:t xml:space="preserve">We </w:t>
            </w:r>
            <w:r w:rsidR="00E645DF">
              <w:rPr>
                <w:rFonts w:ascii="Arial" w:hAnsi="Arial" w:cs="Arial"/>
                <w:szCs w:val="24"/>
                <w:lang w:val="en-GB"/>
              </w:rPr>
              <w:t>measured</w:t>
            </w:r>
            <w:r w:rsidR="005C6BD4">
              <w:rPr>
                <w:rFonts w:ascii="Arial" w:hAnsi="Arial" w:cs="Arial"/>
                <w:szCs w:val="24"/>
                <w:lang w:val="en-GB"/>
              </w:rPr>
              <w:t xml:space="preserve"> the social value of reuse projects, procured a social value calculator and presented waste and resources in the context of decarbonisation and net zero</w:t>
            </w:r>
            <w:r w:rsidR="00D2652F">
              <w:rPr>
                <w:rFonts w:ascii="Arial" w:hAnsi="Arial" w:cs="Arial"/>
                <w:szCs w:val="24"/>
                <w:lang w:val="en-GB"/>
              </w:rPr>
              <w:t>.</w:t>
            </w:r>
          </w:p>
          <w:p w:rsidR="003F2B2D" w:rsidRDefault="003F2B2D" w:rsidP="006140E9">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The HR Strategy, Joint Plan for 2030, Infrastructure Investment Plan, and Extended Producer Responsibility Strategy have been rolled forward into 2023-24.  </w:t>
            </w:r>
          </w:p>
          <w:p w:rsidR="00554C45" w:rsidRDefault="0070470E" w:rsidP="00554C45">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The f</w:t>
            </w:r>
            <w:r w:rsidR="003F2B2D">
              <w:rPr>
                <w:rFonts w:ascii="Arial" w:hAnsi="Arial" w:cs="Arial"/>
                <w:szCs w:val="24"/>
                <w:lang w:val="en-GB"/>
              </w:rPr>
              <w:t>ood waste programme</w:t>
            </w:r>
            <w:r>
              <w:rPr>
                <w:rFonts w:ascii="Arial" w:hAnsi="Arial" w:cs="Arial"/>
                <w:szCs w:val="24"/>
                <w:lang w:val="en-GB"/>
              </w:rPr>
              <w:t xml:space="preserve"> was extended to allow more time for monitoring due to some delays to starting Borough projects.  The HRRC programme was rolled forward and has now been delivered in Q1 2023-24.</w:t>
            </w:r>
            <w:r w:rsidR="003F2B2D">
              <w:rPr>
                <w:rFonts w:ascii="Arial" w:hAnsi="Arial" w:cs="Arial"/>
                <w:szCs w:val="24"/>
                <w:lang w:val="en-GB"/>
              </w:rPr>
              <w:t xml:space="preserve"> </w:t>
            </w:r>
            <w:r>
              <w:rPr>
                <w:rFonts w:ascii="Arial" w:hAnsi="Arial" w:cs="Arial"/>
                <w:szCs w:val="24"/>
                <w:lang w:val="en-GB"/>
              </w:rPr>
              <w:t>The v</w:t>
            </w:r>
            <w:r w:rsidR="003F2B2D">
              <w:rPr>
                <w:rFonts w:ascii="Arial" w:hAnsi="Arial" w:cs="Arial"/>
                <w:szCs w:val="24"/>
                <w:lang w:val="en-GB"/>
              </w:rPr>
              <w:t xml:space="preserve">irtual </w:t>
            </w:r>
            <w:r>
              <w:rPr>
                <w:rFonts w:ascii="Arial" w:hAnsi="Arial" w:cs="Arial"/>
                <w:szCs w:val="24"/>
                <w:lang w:val="en-GB"/>
              </w:rPr>
              <w:t xml:space="preserve">and Borough </w:t>
            </w:r>
            <w:r w:rsidR="003F2B2D">
              <w:rPr>
                <w:rFonts w:ascii="Arial" w:hAnsi="Arial" w:cs="Arial"/>
                <w:szCs w:val="24"/>
                <w:lang w:val="en-GB"/>
              </w:rPr>
              <w:t>Circular Economy Hub</w:t>
            </w:r>
            <w:r>
              <w:rPr>
                <w:rFonts w:ascii="Arial" w:hAnsi="Arial" w:cs="Arial"/>
                <w:szCs w:val="24"/>
                <w:lang w:val="en-GB"/>
              </w:rPr>
              <w:t xml:space="preserve">s have </w:t>
            </w:r>
            <w:r w:rsidR="007A307B">
              <w:rPr>
                <w:rFonts w:ascii="Arial" w:hAnsi="Arial" w:cs="Arial"/>
                <w:szCs w:val="24"/>
                <w:lang w:val="en-GB"/>
              </w:rPr>
              <w:t>rolled forward</w:t>
            </w:r>
            <w:r>
              <w:rPr>
                <w:rFonts w:ascii="Arial" w:hAnsi="Arial" w:cs="Arial"/>
                <w:szCs w:val="24"/>
                <w:lang w:val="en-GB"/>
              </w:rPr>
              <w:t xml:space="preserve"> in</w:t>
            </w:r>
            <w:r w:rsidR="007A307B">
              <w:rPr>
                <w:rFonts w:ascii="Arial" w:hAnsi="Arial" w:cs="Arial"/>
                <w:szCs w:val="24"/>
                <w:lang w:val="en-GB"/>
              </w:rPr>
              <w:t>to</w:t>
            </w:r>
            <w:r>
              <w:rPr>
                <w:rFonts w:ascii="Arial" w:hAnsi="Arial" w:cs="Arial"/>
                <w:szCs w:val="24"/>
                <w:lang w:val="en-GB"/>
              </w:rPr>
              <w:t xml:space="preserve"> 2023-24</w:t>
            </w:r>
            <w:r w:rsidR="004515F4">
              <w:rPr>
                <w:rFonts w:ascii="Arial" w:hAnsi="Arial" w:cs="Arial"/>
                <w:szCs w:val="24"/>
                <w:lang w:val="en-GB"/>
              </w:rPr>
              <w:t xml:space="preserve"> all with no impact on budget</w:t>
            </w:r>
            <w:r>
              <w:rPr>
                <w:rFonts w:ascii="Arial" w:hAnsi="Arial" w:cs="Arial"/>
                <w:szCs w:val="24"/>
                <w:lang w:val="en-GB"/>
              </w:rPr>
              <w:t>.</w:t>
            </w:r>
          </w:p>
          <w:p w:rsidR="00554C45" w:rsidRPr="00554C45" w:rsidRDefault="005C5166" w:rsidP="00554C45">
            <w:pPr>
              <w:pStyle w:val="BodyText"/>
              <w:numPr>
                <w:ilvl w:val="0"/>
                <w:numId w:val="6"/>
              </w:numPr>
              <w:spacing w:before="60" w:after="60" w:line="288" w:lineRule="auto"/>
              <w:rPr>
                <w:rFonts w:ascii="Arial" w:hAnsi="Arial" w:cs="Arial"/>
                <w:szCs w:val="24"/>
                <w:lang w:val="en-GB"/>
              </w:rPr>
            </w:pPr>
            <w:r w:rsidRPr="00554C45">
              <w:rPr>
                <w:rFonts w:ascii="Arial" w:hAnsi="Arial" w:cs="Arial"/>
                <w:szCs w:val="24"/>
                <w:lang w:val="en-GB"/>
              </w:rPr>
              <w:t>L</w:t>
            </w:r>
            <w:r w:rsidR="00024ED4" w:rsidRPr="00554C45">
              <w:rPr>
                <w:rFonts w:ascii="Arial" w:hAnsi="Arial" w:cs="Arial"/>
                <w:szCs w:val="24"/>
                <w:lang w:val="en-GB"/>
              </w:rPr>
              <w:t xml:space="preserve">essons learned from the Business Plan 2022-23 are </w:t>
            </w:r>
            <w:r w:rsidR="00554C45" w:rsidRPr="00554C45">
              <w:rPr>
                <w:rFonts w:ascii="Arial" w:hAnsi="Arial" w:cs="Arial"/>
                <w:szCs w:val="24"/>
              </w:rPr>
              <w:t xml:space="preserve">that change at this speed </w:t>
            </w:r>
            <w:r w:rsidR="00E645DF">
              <w:rPr>
                <w:rFonts w:ascii="Arial" w:hAnsi="Arial" w:cs="Arial"/>
                <w:szCs w:val="24"/>
              </w:rPr>
              <w:t>is difficult both internally and to maintain alignment with partners as all change at the same time.</w:t>
            </w:r>
            <w:r w:rsidR="004515F4">
              <w:rPr>
                <w:rFonts w:ascii="Arial" w:hAnsi="Arial" w:cs="Arial"/>
                <w:szCs w:val="24"/>
              </w:rPr>
              <w:t xml:space="preserve"> </w:t>
            </w:r>
            <w:r w:rsidR="00E645DF">
              <w:rPr>
                <w:rFonts w:ascii="Arial" w:hAnsi="Arial" w:cs="Arial"/>
                <w:szCs w:val="24"/>
              </w:rPr>
              <w:t xml:space="preserve"> J</w:t>
            </w:r>
            <w:r w:rsidR="00554C45" w:rsidRPr="00554C45">
              <w:rPr>
                <w:rFonts w:ascii="Arial" w:hAnsi="Arial" w:cs="Arial"/>
                <w:szCs w:val="24"/>
              </w:rPr>
              <w:t xml:space="preserve">oint planning </w:t>
            </w:r>
            <w:r w:rsidR="00E645DF">
              <w:rPr>
                <w:rFonts w:ascii="Arial" w:hAnsi="Arial" w:cs="Arial"/>
                <w:szCs w:val="24"/>
              </w:rPr>
              <w:t>is needed</w:t>
            </w:r>
            <w:r w:rsidR="00554C45" w:rsidRPr="00554C45">
              <w:rPr>
                <w:rFonts w:ascii="Arial" w:hAnsi="Arial" w:cs="Arial"/>
                <w:szCs w:val="24"/>
              </w:rPr>
              <w:t xml:space="preserve"> even if government le</w:t>
            </w:r>
            <w:r w:rsidR="004515F4">
              <w:rPr>
                <w:rFonts w:ascii="Arial" w:hAnsi="Arial" w:cs="Arial"/>
                <w:szCs w:val="24"/>
              </w:rPr>
              <w:t>gislation isn’t available yet.</w:t>
            </w:r>
          </w:p>
          <w:p w:rsidR="00D2652F" w:rsidRPr="000922AA" w:rsidRDefault="006140E9" w:rsidP="00E645DF">
            <w:pPr>
              <w:pStyle w:val="BodyText"/>
              <w:numPr>
                <w:ilvl w:val="0"/>
                <w:numId w:val="6"/>
              </w:numPr>
              <w:spacing w:before="60" w:after="60" w:line="288" w:lineRule="auto"/>
              <w:rPr>
                <w:rFonts w:ascii="Arial" w:hAnsi="Arial" w:cs="Arial"/>
                <w:szCs w:val="24"/>
                <w:lang w:val="en-GB"/>
              </w:rPr>
            </w:pPr>
            <w:r>
              <w:rPr>
                <w:rFonts w:ascii="Arial" w:hAnsi="Arial" w:cs="Arial"/>
                <w:szCs w:val="24"/>
                <w:lang w:val="en-GB"/>
              </w:rPr>
              <w:t xml:space="preserve">WLWA can demonstrate progress </w:t>
            </w:r>
            <w:r w:rsidR="005C5166">
              <w:rPr>
                <w:rFonts w:ascii="Arial" w:hAnsi="Arial" w:cs="Arial"/>
                <w:szCs w:val="24"/>
                <w:lang w:val="en-GB"/>
              </w:rPr>
              <w:t xml:space="preserve">against the JMWMS agreed framework </w:t>
            </w:r>
            <w:r>
              <w:rPr>
                <w:rFonts w:ascii="Arial" w:hAnsi="Arial" w:cs="Arial"/>
                <w:szCs w:val="24"/>
                <w:lang w:val="en-GB"/>
              </w:rPr>
              <w:t xml:space="preserve">with reduced waste, reduced total food waste and increased reuse.  </w:t>
            </w:r>
          </w:p>
        </w:tc>
      </w:tr>
      <w:tr w:rsidR="00242633" w:rsidRPr="00544A8D" w:rsidTr="00951B2B">
        <w:trPr>
          <w:cantSplit/>
        </w:trPr>
        <w:tc>
          <w:tcPr>
            <w:tcW w:w="10314" w:type="dxa"/>
            <w:gridSpan w:val="2"/>
            <w:tcBorders>
              <w:top w:val="single" w:sz="4" w:space="0" w:color="auto"/>
              <w:bottom w:val="single" w:sz="4" w:space="0" w:color="auto"/>
            </w:tcBorders>
          </w:tcPr>
          <w:p w:rsidR="00242633" w:rsidRPr="00544A8D" w:rsidRDefault="00242633" w:rsidP="00544A8D">
            <w:pPr>
              <w:spacing w:before="60" w:after="60" w:line="288" w:lineRule="auto"/>
              <w:ind w:left="0" w:firstLine="0"/>
              <w:rPr>
                <w:rFonts w:ascii="Arial" w:hAnsi="Arial" w:cs="Arial"/>
                <w:b/>
                <w:szCs w:val="24"/>
              </w:rPr>
            </w:pPr>
          </w:p>
        </w:tc>
      </w:tr>
      <w:tr w:rsidR="00242633" w:rsidRPr="00544A8D"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544A8D" w:rsidRDefault="00242633" w:rsidP="00544A8D">
            <w:pPr>
              <w:spacing w:before="60" w:after="60" w:line="288" w:lineRule="auto"/>
              <w:rPr>
                <w:rFonts w:ascii="Arial" w:hAnsi="Arial" w:cs="Arial"/>
                <w:szCs w:val="24"/>
              </w:rPr>
            </w:pPr>
            <w:r w:rsidRPr="00544A8D">
              <w:rPr>
                <w:rFonts w:ascii="Arial" w:hAnsi="Arial" w:cs="Arial"/>
                <w:b/>
                <w:szCs w:val="24"/>
              </w:rPr>
              <w:t>RECOMMENDATION</w:t>
            </w:r>
            <w:r w:rsidR="00F909D8" w:rsidRPr="00544A8D">
              <w:rPr>
                <w:rFonts w:ascii="Arial" w:hAnsi="Arial" w:cs="Arial"/>
                <w:b/>
                <w:szCs w:val="24"/>
              </w:rPr>
              <w:t>(S)</w:t>
            </w:r>
          </w:p>
          <w:p w:rsidR="00C1425C" w:rsidRPr="00544A8D" w:rsidRDefault="005F0B46" w:rsidP="00544A8D">
            <w:pPr>
              <w:pStyle w:val="Header"/>
              <w:tabs>
                <w:tab w:val="clear" w:pos="4153"/>
                <w:tab w:val="clear" w:pos="8306"/>
              </w:tabs>
              <w:spacing w:before="60" w:after="60" w:line="288" w:lineRule="auto"/>
              <w:rPr>
                <w:rFonts w:ascii="Arial" w:hAnsi="Arial" w:cs="Arial"/>
                <w:szCs w:val="24"/>
                <w:lang w:val="en-GB"/>
              </w:rPr>
            </w:pPr>
            <w:r w:rsidRPr="00544A8D">
              <w:rPr>
                <w:rFonts w:ascii="Arial" w:hAnsi="Arial" w:cs="Arial"/>
                <w:szCs w:val="24"/>
                <w:lang w:val="en-GB"/>
              </w:rPr>
              <w:t xml:space="preserve">The Authority </w:t>
            </w:r>
            <w:r w:rsidR="00E23658" w:rsidRPr="00544A8D">
              <w:rPr>
                <w:rFonts w:ascii="Arial" w:hAnsi="Arial" w:cs="Arial"/>
                <w:szCs w:val="24"/>
                <w:lang w:val="en-GB"/>
              </w:rPr>
              <w:t>is asked to:-</w:t>
            </w:r>
          </w:p>
          <w:p w:rsidR="00DB759A" w:rsidRPr="00024ED4" w:rsidRDefault="00024ED4" w:rsidP="00024ED4">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Approve</w:t>
            </w:r>
            <w:r w:rsidR="00781D08">
              <w:rPr>
                <w:rFonts w:ascii="Arial" w:hAnsi="Arial" w:cs="Arial"/>
                <w:i/>
                <w:szCs w:val="24"/>
                <w:lang w:val="en-GB"/>
              </w:rPr>
              <w:t xml:space="preserve"> the conclusion of the 2022 Business Plan</w:t>
            </w:r>
            <w:r>
              <w:rPr>
                <w:rFonts w:ascii="Arial" w:hAnsi="Arial" w:cs="Arial"/>
                <w:i/>
                <w:szCs w:val="24"/>
                <w:lang w:val="en-GB"/>
              </w:rPr>
              <w:t xml:space="preserve"> and roll over of some activities to the 2023-24 Business Plan.</w:t>
            </w:r>
          </w:p>
        </w:tc>
      </w:tr>
    </w:tbl>
    <w:p w:rsidR="004D6D0C" w:rsidRPr="00544A8D" w:rsidRDefault="004D6D0C" w:rsidP="00544A8D">
      <w:pPr>
        <w:spacing w:before="60" w:after="60" w:line="288" w:lineRule="auto"/>
        <w:rPr>
          <w:rFonts w:ascii="Arial" w:hAnsi="Arial" w:cs="Arial"/>
          <w:b/>
          <w:szCs w:val="24"/>
        </w:rPr>
      </w:pPr>
    </w:p>
    <w:p w:rsidR="00A61CCD" w:rsidRPr="00083E6C" w:rsidRDefault="00926430" w:rsidP="00554C45">
      <w:pPr>
        <w:numPr>
          <w:ilvl w:val="0"/>
          <w:numId w:val="2"/>
        </w:numPr>
        <w:tabs>
          <w:tab w:val="clear" w:pos="360"/>
        </w:tabs>
        <w:spacing w:before="60" w:after="60" w:line="288" w:lineRule="auto"/>
        <w:ind w:left="142" w:firstLine="0"/>
        <w:rPr>
          <w:rFonts w:ascii="Arial" w:hAnsi="Arial" w:cs="Arial"/>
          <w:b/>
          <w:szCs w:val="24"/>
        </w:rPr>
      </w:pPr>
      <w:r w:rsidRPr="005C5166">
        <w:rPr>
          <w:rFonts w:ascii="Arial" w:hAnsi="Arial" w:cs="Arial"/>
          <w:b/>
          <w:szCs w:val="24"/>
        </w:rPr>
        <w:t xml:space="preserve">Background </w:t>
      </w:r>
      <w:r w:rsidRPr="005C5166">
        <w:rPr>
          <w:rFonts w:ascii="Arial" w:hAnsi="Arial" w:cs="Arial"/>
          <w:szCs w:val="24"/>
        </w:rPr>
        <w:t>–</w:t>
      </w:r>
      <w:r w:rsidR="008A0B6E" w:rsidRPr="005C5166">
        <w:rPr>
          <w:rFonts w:ascii="Arial" w:hAnsi="Arial" w:cs="Arial"/>
          <w:szCs w:val="24"/>
        </w:rPr>
        <w:t xml:space="preserve"> </w:t>
      </w:r>
      <w:r w:rsidR="00E3573C" w:rsidRPr="005C5166">
        <w:rPr>
          <w:rFonts w:ascii="Arial" w:hAnsi="Arial" w:cs="Arial"/>
          <w:szCs w:val="24"/>
        </w:rPr>
        <w:t>Since 2019</w:t>
      </w:r>
      <w:r w:rsidR="005C1BD6" w:rsidRPr="005C5166">
        <w:rPr>
          <w:rFonts w:ascii="Arial" w:hAnsi="Arial" w:cs="Arial"/>
          <w:szCs w:val="24"/>
        </w:rPr>
        <w:t>, the</w:t>
      </w:r>
      <w:r w:rsidR="008A0B6E" w:rsidRPr="005C5166">
        <w:rPr>
          <w:rFonts w:ascii="Arial" w:hAnsi="Arial" w:cs="Arial"/>
          <w:szCs w:val="24"/>
        </w:rPr>
        <w:t xml:space="preserve"> </w:t>
      </w:r>
      <w:r w:rsidR="00E3573C" w:rsidRPr="005C5166">
        <w:rPr>
          <w:rFonts w:ascii="Arial" w:hAnsi="Arial" w:cs="Arial"/>
          <w:szCs w:val="24"/>
        </w:rPr>
        <w:t xml:space="preserve">Joint Municipal Waste Management Plan </w:t>
      </w:r>
      <w:r w:rsidR="00A61CCD" w:rsidRPr="005C5166">
        <w:rPr>
          <w:rFonts w:ascii="Arial" w:hAnsi="Arial"/>
          <w:szCs w:val="24"/>
        </w:rPr>
        <w:t>has focused on outcomes</w:t>
      </w:r>
      <w:r w:rsidR="0022162D" w:rsidRPr="005C5166">
        <w:rPr>
          <w:rFonts w:ascii="Arial" w:hAnsi="Arial"/>
          <w:szCs w:val="24"/>
        </w:rPr>
        <w:t xml:space="preserve"> whilst </w:t>
      </w:r>
      <w:r w:rsidR="005C1BD6" w:rsidRPr="005C5166">
        <w:rPr>
          <w:rFonts w:ascii="Arial" w:hAnsi="Arial"/>
          <w:szCs w:val="24"/>
        </w:rPr>
        <w:t xml:space="preserve">we </w:t>
      </w:r>
      <w:r w:rsidR="0022162D" w:rsidRPr="005C5166">
        <w:rPr>
          <w:rFonts w:ascii="Arial" w:hAnsi="Arial"/>
          <w:szCs w:val="24"/>
        </w:rPr>
        <w:t>wait for clarity on new environmental legislation and regulations</w:t>
      </w:r>
      <w:r w:rsidR="005C5166" w:rsidRPr="005C5166">
        <w:rPr>
          <w:rFonts w:ascii="Arial" w:hAnsi="Arial"/>
          <w:szCs w:val="24"/>
        </w:rPr>
        <w:t xml:space="preserve"> and </w:t>
      </w:r>
      <w:r w:rsidR="005C5166" w:rsidRPr="005C5166">
        <w:rPr>
          <w:rFonts w:ascii="Arial" w:hAnsi="Arial" w:cs="Arial"/>
          <w:szCs w:val="24"/>
        </w:rPr>
        <w:t>agreed a framework with Boroughs in 2021</w:t>
      </w:r>
      <w:r w:rsidR="00A61CCD" w:rsidRPr="005C5166">
        <w:rPr>
          <w:rFonts w:ascii="Arial" w:hAnsi="Arial"/>
          <w:szCs w:val="24"/>
        </w:rPr>
        <w:t xml:space="preserve">.  The </w:t>
      </w:r>
      <w:r w:rsidR="005C1BD6" w:rsidRPr="005C5166">
        <w:rPr>
          <w:rFonts w:ascii="Arial" w:hAnsi="Arial"/>
          <w:szCs w:val="24"/>
        </w:rPr>
        <w:t>authority</w:t>
      </w:r>
      <w:r w:rsidR="00A61CCD" w:rsidRPr="005C5166">
        <w:rPr>
          <w:rFonts w:ascii="Arial" w:hAnsi="Arial"/>
          <w:szCs w:val="24"/>
        </w:rPr>
        <w:t xml:space="preserve"> has developed </w:t>
      </w:r>
      <w:r w:rsidR="003B621A" w:rsidRPr="005C5166">
        <w:rPr>
          <w:rFonts w:ascii="Arial" w:hAnsi="Arial"/>
          <w:szCs w:val="24"/>
        </w:rPr>
        <w:t xml:space="preserve">and cemented its </w:t>
      </w:r>
      <w:r w:rsidR="00A61CCD" w:rsidRPr="005C5166">
        <w:rPr>
          <w:rFonts w:ascii="Arial" w:hAnsi="Arial"/>
          <w:szCs w:val="24"/>
        </w:rPr>
        <w:t xml:space="preserve">values of Leadership, Empowerment, Agility and Partnership to </w:t>
      </w:r>
      <w:r w:rsidR="005C5166">
        <w:rPr>
          <w:rFonts w:ascii="Arial" w:hAnsi="Arial"/>
          <w:szCs w:val="24"/>
        </w:rPr>
        <w:t>create the capacity internally to create</w:t>
      </w:r>
      <w:r w:rsidR="00A61CCD" w:rsidRPr="005C5166">
        <w:rPr>
          <w:rFonts w:ascii="Arial" w:hAnsi="Arial"/>
          <w:szCs w:val="24"/>
        </w:rPr>
        <w:t xml:space="preserve"> these outcomes</w:t>
      </w:r>
      <w:r w:rsidR="005C5166">
        <w:rPr>
          <w:rFonts w:ascii="Arial" w:hAnsi="Arial"/>
          <w:szCs w:val="24"/>
        </w:rPr>
        <w:t xml:space="preserve">.  </w:t>
      </w:r>
      <w:r w:rsidR="005C1BD6" w:rsidRPr="005C5166">
        <w:rPr>
          <w:rFonts w:ascii="Arial" w:hAnsi="Arial" w:cs="Arial"/>
          <w:szCs w:val="24"/>
        </w:rPr>
        <w:t xml:space="preserve">In 2021 WLWA published its first annual report, designed to bring together all of the challenges and successes of the previous year.  The </w:t>
      </w:r>
      <w:r w:rsidR="00400C2F" w:rsidRPr="005C5166">
        <w:rPr>
          <w:rFonts w:ascii="Arial" w:hAnsi="Arial" w:cs="Arial"/>
          <w:szCs w:val="24"/>
        </w:rPr>
        <w:t>2023</w:t>
      </w:r>
      <w:r w:rsidR="005C5166">
        <w:rPr>
          <w:rFonts w:ascii="Arial" w:hAnsi="Arial" w:cs="Arial"/>
          <w:szCs w:val="24"/>
        </w:rPr>
        <w:t xml:space="preserve"> annual report will showcase the highlights of the past year as we</w:t>
      </w:r>
      <w:r w:rsidR="005C1BD6" w:rsidRPr="005C5166">
        <w:rPr>
          <w:rFonts w:ascii="Arial" w:hAnsi="Arial" w:cs="Arial"/>
          <w:szCs w:val="24"/>
        </w:rPr>
        <w:t xml:space="preserve"> decarbonise and take climate action.</w:t>
      </w:r>
    </w:p>
    <w:p w:rsidR="00083E6C" w:rsidRPr="005C5166" w:rsidRDefault="00083E6C" w:rsidP="00083E6C">
      <w:pPr>
        <w:spacing w:before="60" w:after="60" w:line="288" w:lineRule="auto"/>
        <w:ind w:left="142" w:firstLine="0"/>
        <w:rPr>
          <w:rFonts w:ascii="Arial" w:hAnsi="Arial" w:cs="Arial"/>
          <w:b/>
          <w:szCs w:val="24"/>
        </w:rPr>
      </w:pPr>
    </w:p>
    <w:p w:rsidR="002B35D0" w:rsidRPr="00DB759A" w:rsidRDefault="000F73D8" w:rsidP="00192E76">
      <w:pPr>
        <w:numPr>
          <w:ilvl w:val="0"/>
          <w:numId w:val="2"/>
        </w:numPr>
        <w:spacing w:before="60" w:after="60" w:line="288" w:lineRule="auto"/>
        <w:ind w:firstLine="0"/>
        <w:rPr>
          <w:rFonts w:ascii="Arial" w:hAnsi="Arial" w:cs="Arial"/>
          <w:szCs w:val="24"/>
        </w:rPr>
      </w:pPr>
      <w:r w:rsidRPr="00DB759A">
        <w:rPr>
          <w:rFonts w:ascii="Arial" w:hAnsi="Arial" w:cs="Arial"/>
          <w:b/>
          <w:szCs w:val="24"/>
        </w:rPr>
        <w:lastRenderedPageBreak/>
        <w:t xml:space="preserve">The 2022-23 Business Plan </w:t>
      </w:r>
      <w:r w:rsidR="00DB759A" w:rsidRPr="00DB759A">
        <w:rPr>
          <w:rFonts w:ascii="Arial" w:hAnsi="Arial" w:cs="Arial"/>
          <w:szCs w:val="24"/>
        </w:rPr>
        <w:t>was challenging and ambitious</w:t>
      </w:r>
      <w:r w:rsidR="00DB759A">
        <w:rPr>
          <w:rFonts w:ascii="Arial" w:hAnsi="Arial" w:cs="Arial"/>
          <w:szCs w:val="24"/>
        </w:rPr>
        <w:t xml:space="preserve"> and</w:t>
      </w:r>
      <w:r w:rsidR="00DB759A" w:rsidRPr="00DB759A">
        <w:rPr>
          <w:rFonts w:ascii="Arial" w:hAnsi="Arial" w:cs="Arial"/>
          <w:szCs w:val="24"/>
        </w:rPr>
        <w:t xml:space="preserve"> </w:t>
      </w:r>
      <w:r w:rsidR="00400C2F" w:rsidRPr="00DB759A">
        <w:rPr>
          <w:rFonts w:ascii="Arial" w:hAnsi="Arial" w:cs="Arial"/>
          <w:szCs w:val="24"/>
        </w:rPr>
        <w:t>took steps</w:t>
      </w:r>
      <w:r w:rsidR="00A44246" w:rsidRPr="00DB759A">
        <w:rPr>
          <w:rFonts w:ascii="Arial" w:hAnsi="Arial" w:cs="Arial"/>
          <w:b/>
          <w:szCs w:val="24"/>
        </w:rPr>
        <w:t xml:space="preserve"> </w:t>
      </w:r>
      <w:r w:rsidR="001342E2" w:rsidRPr="00DB759A">
        <w:rPr>
          <w:rFonts w:ascii="Arial" w:hAnsi="Arial" w:cs="Arial"/>
          <w:szCs w:val="24"/>
        </w:rPr>
        <w:t xml:space="preserve">to </w:t>
      </w:r>
      <w:r w:rsidR="00400C2F" w:rsidRPr="00DB759A">
        <w:rPr>
          <w:rFonts w:ascii="Arial" w:hAnsi="Arial" w:cs="Arial"/>
          <w:szCs w:val="24"/>
        </w:rPr>
        <w:t xml:space="preserve">meet climate change targets by </w:t>
      </w:r>
      <w:r w:rsidR="005C5166">
        <w:rPr>
          <w:rFonts w:ascii="Arial" w:hAnsi="Arial" w:cs="Arial"/>
          <w:szCs w:val="24"/>
        </w:rPr>
        <w:t xml:space="preserve">understanding how we can </w:t>
      </w:r>
      <w:r w:rsidR="00400C2F" w:rsidRPr="00DB759A">
        <w:rPr>
          <w:rFonts w:ascii="Arial" w:hAnsi="Arial" w:cs="Arial"/>
          <w:szCs w:val="24"/>
        </w:rPr>
        <w:t>resha</w:t>
      </w:r>
      <w:r w:rsidR="005C5166">
        <w:rPr>
          <w:rFonts w:ascii="Arial" w:hAnsi="Arial" w:cs="Arial"/>
          <w:szCs w:val="24"/>
        </w:rPr>
        <w:t>pe</w:t>
      </w:r>
      <w:r w:rsidRPr="00DB759A">
        <w:rPr>
          <w:rFonts w:ascii="Arial" w:hAnsi="Arial" w:cs="Arial"/>
          <w:szCs w:val="24"/>
        </w:rPr>
        <w:t xml:space="preserve"> waste services </w:t>
      </w:r>
      <w:r w:rsidR="005C5166">
        <w:rPr>
          <w:rFonts w:ascii="Arial" w:hAnsi="Arial" w:cs="Arial"/>
          <w:szCs w:val="24"/>
        </w:rPr>
        <w:t xml:space="preserve">to meet the future needs of </w:t>
      </w:r>
      <w:r w:rsidR="001342E2" w:rsidRPr="00DB759A">
        <w:rPr>
          <w:rFonts w:ascii="Arial" w:hAnsi="Arial" w:cs="Arial"/>
          <w:szCs w:val="24"/>
        </w:rPr>
        <w:t>legislation</w:t>
      </w:r>
      <w:r w:rsidR="005C5166">
        <w:rPr>
          <w:rFonts w:ascii="Arial" w:hAnsi="Arial" w:cs="Arial"/>
          <w:szCs w:val="24"/>
        </w:rPr>
        <w:t xml:space="preserve">.  It was a very </w:t>
      </w:r>
      <w:r w:rsidR="00400C2F" w:rsidRPr="00DB759A">
        <w:rPr>
          <w:rFonts w:ascii="Arial" w:hAnsi="Arial" w:cs="Arial"/>
          <w:szCs w:val="24"/>
        </w:rPr>
        <w:t>unsettled period</w:t>
      </w:r>
      <w:r w:rsidR="001342E2" w:rsidRPr="00DB759A">
        <w:rPr>
          <w:rFonts w:ascii="Arial" w:hAnsi="Arial" w:cs="Arial"/>
          <w:szCs w:val="24"/>
        </w:rPr>
        <w:t xml:space="preserve"> after</w:t>
      </w:r>
      <w:r w:rsidRPr="00DB759A">
        <w:rPr>
          <w:rFonts w:ascii="Arial" w:hAnsi="Arial" w:cs="Arial"/>
          <w:szCs w:val="24"/>
        </w:rPr>
        <w:t xml:space="preserve"> the COVID 19 pandemic</w:t>
      </w:r>
      <w:r w:rsidR="00A44246" w:rsidRPr="00DB759A">
        <w:rPr>
          <w:rFonts w:ascii="Arial" w:hAnsi="Arial" w:cs="Arial"/>
          <w:szCs w:val="24"/>
        </w:rPr>
        <w:t xml:space="preserve">.  </w:t>
      </w:r>
      <w:r w:rsidR="00DB759A">
        <w:rPr>
          <w:rFonts w:ascii="Arial" w:hAnsi="Arial" w:cs="Arial"/>
          <w:szCs w:val="24"/>
        </w:rPr>
        <w:t xml:space="preserve">The table </w:t>
      </w:r>
      <w:r w:rsidR="00DB759A" w:rsidRPr="00DB759A">
        <w:rPr>
          <w:rFonts w:ascii="Arial" w:hAnsi="Arial" w:cs="Arial"/>
          <w:szCs w:val="24"/>
        </w:rPr>
        <w:t>below</w:t>
      </w:r>
      <w:r w:rsidR="00DB759A">
        <w:rPr>
          <w:rFonts w:ascii="Arial" w:hAnsi="Arial" w:cs="Arial"/>
          <w:szCs w:val="24"/>
        </w:rPr>
        <w:t xml:space="preserve"> </w:t>
      </w:r>
      <w:r w:rsidR="00A8050E" w:rsidRPr="00DB759A">
        <w:rPr>
          <w:rFonts w:ascii="Arial" w:hAnsi="Arial" w:cs="Arial"/>
          <w:szCs w:val="24"/>
        </w:rPr>
        <w:t>highlight</w:t>
      </w:r>
      <w:r w:rsidR="00A8050E">
        <w:rPr>
          <w:rFonts w:ascii="Arial" w:hAnsi="Arial" w:cs="Arial"/>
          <w:szCs w:val="24"/>
        </w:rPr>
        <w:t xml:space="preserve">s </w:t>
      </w:r>
      <w:r w:rsidR="00CA6B58" w:rsidRPr="00DB759A">
        <w:rPr>
          <w:rFonts w:ascii="Arial" w:hAnsi="Arial" w:cs="Arial"/>
          <w:szCs w:val="24"/>
        </w:rPr>
        <w:t xml:space="preserve">the key achievements </w:t>
      </w:r>
      <w:r w:rsidR="005C5166">
        <w:rPr>
          <w:rFonts w:ascii="Arial" w:hAnsi="Arial" w:cs="Arial"/>
          <w:szCs w:val="24"/>
        </w:rPr>
        <w:t>and lesson</w:t>
      </w:r>
      <w:r w:rsidR="00CD6A84">
        <w:rPr>
          <w:rFonts w:ascii="Arial" w:hAnsi="Arial" w:cs="Arial"/>
          <w:szCs w:val="24"/>
        </w:rPr>
        <w:t>s</w:t>
      </w:r>
      <w:r w:rsidR="005C5166">
        <w:rPr>
          <w:rFonts w:ascii="Arial" w:hAnsi="Arial" w:cs="Arial"/>
          <w:szCs w:val="24"/>
        </w:rPr>
        <w:t xml:space="preserve"> learned </w:t>
      </w:r>
      <w:r w:rsidR="00A8050E">
        <w:rPr>
          <w:rFonts w:ascii="Arial" w:hAnsi="Arial" w:cs="Arial"/>
          <w:szCs w:val="24"/>
        </w:rPr>
        <w:t>during</w:t>
      </w:r>
      <w:r w:rsidR="00DB759A" w:rsidRPr="00DB759A">
        <w:rPr>
          <w:rFonts w:ascii="Arial" w:hAnsi="Arial" w:cs="Arial"/>
          <w:szCs w:val="24"/>
        </w:rPr>
        <w:t xml:space="preserve"> the year</w:t>
      </w:r>
      <w:r w:rsidR="00CA6B58" w:rsidRPr="00DB759A">
        <w:rPr>
          <w:rFonts w:ascii="Arial" w:hAnsi="Arial" w:cs="Arial"/>
          <w:szCs w:val="24"/>
        </w:rPr>
        <w:t>:</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030"/>
        <w:gridCol w:w="7479"/>
      </w:tblGrid>
      <w:tr w:rsidR="005C5166" w:rsidRPr="00CF3873" w:rsidTr="000F66EE">
        <w:tc>
          <w:tcPr>
            <w:tcW w:w="515" w:type="dxa"/>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A</w:t>
            </w:r>
          </w:p>
        </w:tc>
        <w:tc>
          <w:tcPr>
            <w:tcW w:w="2030" w:type="dxa"/>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Resilience and preparation</w:t>
            </w:r>
          </w:p>
        </w:tc>
        <w:tc>
          <w:tcPr>
            <w:tcW w:w="7479" w:type="dxa"/>
            <w:tcBorders>
              <w:bottom w:val="single" w:sz="4" w:space="0" w:color="auto"/>
            </w:tcBorders>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To be prepared for significant change resulting from legislation and social and economic needs.  To remain aligned with our supply chain and Boroughs as all organisations in the resources and waste sector manage significant change.</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Key Achievements</w:t>
            </w:r>
          </w:p>
        </w:tc>
        <w:tc>
          <w:tcPr>
            <w:tcW w:w="7479" w:type="dxa"/>
            <w:tcBorders>
              <w:top w:val="single" w:sz="4" w:space="0" w:color="auto"/>
            </w:tcBorders>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West London setting the standard for joint working on net zero.  Presenting resources and waste within the context of wider climate and decarbonisation ambitions.</w:t>
            </w:r>
          </w:p>
          <w:p w:rsidR="005C5166" w:rsidRDefault="005C5166" w:rsidP="000F66EE">
            <w:pPr>
              <w:pBdr>
                <w:bottom w:val="single" w:sz="4" w:space="1" w:color="auto"/>
              </w:pBdr>
              <w:spacing w:before="60" w:after="60" w:line="288" w:lineRule="auto"/>
              <w:ind w:left="0" w:firstLine="0"/>
              <w:rPr>
                <w:rFonts w:ascii="Arial" w:hAnsi="Arial" w:cs="Arial"/>
                <w:szCs w:val="24"/>
              </w:rPr>
            </w:pPr>
            <w:r>
              <w:rPr>
                <w:rFonts w:ascii="Arial" w:hAnsi="Arial" w:cs="Arial"/>
                <w:szCs w:val="24"/>
              </w:rPr>
              <w:t>Collaborative decision making between WLWA, Borough Finance Directors and Borough Environment Directors.</w:t>
            </w:r>
          </w:p>
          <w:p w:rsidR="005C5166" w:rsidRDefault="005C5166" w:rsidP="000F66EE">
            <w:pPr>
              <w:pBdr>
                <w:bottom w:val="single" w:sz="4" w:space="1" w:color="auto"/>
              </w:pBdr>
              <w:spacing w:before="60" w:after="60" w:line="288" w:lineRule="auto"/>
              <w:ind w:left="0" w:firstLine="0"/>
              <w:rPr>
                <w:rFonts w:ascii="Arial" w:hAnsi="Arial" w:cs="Arial"/>
                <w:szCs w:val="24"/>
              </w:rPr>
            </w:pPr>
            <w:r>
              <w:rPr>
                <w:rFonts w:ascii="Arial" w:hAnsi="Arial" w:cs="Arial"/>
                <w:szCs w:val="24"/>
              </w:rPr>
              <w:t>Joint procurement of the Materials collection service and joint selling of paper and card from recycling centres.</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Borders>
              <w:bottom w:val="single" w:sz="4" w:space="0" w:color="auto"/>
            </w:tcBorders>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Lesson learned</w:t>
            </w:r>
          </w:p>
        </w:tc>
        <w:tc>
          <w:tcPr>
            <w:tcW w:w="7479" w:type="dxa"/>
            <w:tcBorders>
              <w:bottom w:val="single" w:sz="4" w:space="0" w:color="auto"/>
            </w:tcBorders>
          </w:tcPr>
          <w:p w:rsidR="005C5166" w:rsidRDefault="00E645DF" w:rsidP="00E645DF">
            <w:pPr>
              <w:spacing w:before="60" w:after="60" w:line="288" w:lineRule="auto"/>
              <w:ind w:left="0" w:firstLine="0"/>
              <w:rPr>
                <w:rFonts w:ascii="Arial" w:hAnsi="Arial" w:cs="Arial"/>
                <w:szCs w:val="24"/>
              </w:rPr>
            </w:pPr>
            <w:r>
              <w:rPr>
                <w:rFonts w:ascii="Arial" w:hAnsi="Arial" w:cs="Arial"/>
                <w:szCs w:val="24"/>
              </w:rPr>
              <w:t>Important to keep pace internally</w:t>
            </w:r>
            <w:r w:rsidR="005C5166">
              <w:rPr>
                <w:rFonts w:ascii="Arial" w:hAnsi="Arial" w:cs="Arial"/>
                <w:szCs w:val="24"/>
              </w:rPr>
              <w:t xml:space="preserve"> with the technical changes created by the programmes.</w:t>
            </w:r>
          </w:p>
        </w:tc>
      </w:tr>
      <w:tr w:rsidR="005C5166" w:rsidRPr="00CF3873" w:rsidTr="000F66EE">
        <w:tc>
          <w:tcPr>
            <w:tcW w:w="515" w:type="dxa"/>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B</w:t>
            </w:r>
          </w:p>
        </w:tc>
        <w:tc>
          <w:tcPr>
            <w:tcW w:w="2030" w:type="dxa"/>
            <w:tcBorders>
              <w:top w:val="single" w:sz="4" w:space="0" w:color="auto"/>
            </w:tcBorders>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Projects and Investments</w:t>
            </w:r>
          </w:p>
        </w:tc>
        <w:tc>
          <w:tcPr>
            <w:tcW w:w="7479" w:type="dxa"/>
            <w:tcBorders>
              <w:top w:val="single" w:sz="4" w:space="0" w:color="auto"/>
              <w:bottom w:val="single" w:sz="4" w:space="0" w:color="auto"/>
            </w:tcBorders>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Having invested £3m in food waste and £1.2m in HRRC recycling and reuse, to demonstrate the waste reduction and recycling outcomes and build trust in future investment programmes.</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Key Achievements</w:t>
            </w:r>
          </w:p>
        </w:tc>
        <w:tc>
          <w:tcPr>
            <w:tcW w:w="7479" w:type="dxa"/>
            <w:tcBorders>
              <w:top w:val="single" w:sz="4" w:space="0" w:color="auto"/>
              <w:bottom w:val="single" w:sz="4" w:space="0" w:color="auto"/>
            </w:tcBorders>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Less waste compared to pre-pandemic, more reuse and recycling and new services for residents.</w:t>
            </w:r>
          </w:p>
          <w:p w:rsidR="005C5166" w:rsidRDefault="005C5166" w:rsidP="000F66EE">
            <w:pPr>
              <w:spacing w:before="60" w:after="60" w:line="288" w:lineRule="auto"/>
              <w:ind w:left="0" w:firstLine="0"/>
              <w:rPr>
                <w:rFonts w:ascii="Arial" w:hAnsi="Arial" w:cs="Arial"/>
                <w:szCs w:val="24"/>
              </w:rPr>
            </w:pPr>
            <w:r>
              <w:rPr>
                <w:rFonts w:ascii="Arial" w:hAnsi="Arial" w:cs="Arial"/>
                <w:szCs w:val="24"/>
              </w:rPr>
              <w:t>Food waste projects demonstrated the importance of measuring what is captured and what is left behind, which highlights the flaws in the recycling rates metric.</w:t>
            </w:r>
          </w:p>
          <w:p w:rsidR="005C5166" w:rsidRDefault="005C5166" w:rsidP="000F66EE">
            <w:pPr>
              <w:spacing w:before="60" w:after="60" w:line="288" w:lineRule="auto"/>
              <w:ind w:left="0" w:firstLine="0"/>
              <w:rPr>
                <w:rFonts w:ascii="Arial" w:hAnsi="Arial" w:cs="Arial"/>
                <w:szCs w:val="24"/>
              </w:rPr>
            </w:pPr>
            <w:r>
              <w:rPr>
                <w:rFonts w:ascii="Arial" w:hAnsi="Arial" w:cs="Arial"/>
                <w:szCs w:val="24"/>
              </w:rPr>
              <w:t>Budgets for three new, three year strategic programmes to inform the transformation of services.</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Borders>
              <w:bottom w:val="single" w:sz="4" w:space="0" w:color="auto"/>
            </w:tcBorders>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Lesson learned</w:t>
            </w:r>
          </w:p>
        </w:tc>
        <w:tc>
          <w:tcPr>
            <w:tcW w:w="7479" w:type="dxa"/>
            <w:tcBorders>
              <w:top w:val="single" w:sz="4" w:space="0" w:color="auto"/>
              <w:bottom w:val="single" w:sz="4" w:space="0" w:color="auto"/>
            </w:tcBorders>
          </w:tcPr>
          <w:p w:rsidR="005C5166" w:rsidRDefault="00E645DF" w:rsidP="00E645DF">
            <w:pPr>
              <w:spacing w:before="60" w:after="60" w:line="288" w:lineRule="auto"/>
              <w:ind w:left="0" w:firstLine="0"/>
              <w:rPr>
                <w:rFonts w:ascii="Arial" w:hAnsi="Arial" w:cs="Arial"/>
                <w:szCs w:val="24"/>
              </w:rPr>
            </w:pPr>
            <w:r>
              <w:rPr>
                <w:rFonts w:ascii="Arial" w:hAnsi="Arial" w:cs="Arial"/>
                <w:szCs w:val="24"/>
              </w:rPr>
              <w:t>J</w:t>
            </w:r>
            <w:r w:rsidR="005C5166">
              <w:rPr>
                <w:rFonts w:ascii="Arial" w:hAnsi="Arial" w:cs="Arial"/>
                <w:szCs w:val="24"/>
              </w:rPr>
              <w:t>oint planning on EPR income, infrastructure investment and collection schemes delayed due to legislative delays.</w:t>
            </w:r>
          </w:p>
        </w:tc>
      </w:tr>
      <w:tr w:rsidR="005C5166" w:rsidRPr="00CF3873" w:rsidTr="000F66EE">
        <w:tc>
          <w:tcPr>
            <w:tcW w:w="515" w:type="dxa"/>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C</w:t>
            </w:r>
          </w:p>
        </w:tc>
        <w:tc>
          <w:tcPr>
            <w:tcW w:w="2030" w:type="dxa"/>
            <w:tcBorders>
              <w:top w:val="single" w:sz="4" w:space="0" w:color="auto"/>
            </w:tcBorders>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Communicating the Vision</w:t>
            </w:r>
          </w:p>
        </w:tc>
        <w:tc>
          <w:tcPr>
            <w:tcW w:w="7479" w:type="dxa"/>
            <w:tcBorders>
              <w:top w:val="single" w:sz="4" w:space="0" w:color="auto"/>
              <w:bottom w:val="single" w:sz="4" w:space="0" w:color="auto"/>
            </w:tcBorders>
          </w:tcPr>
          <w:p w:rsidR="005C5166" w:rsidRPr="00CF3873" w:rsidRDefault="005C5166" w:rsidP="000F66EE">
            <w:pPr>
              <w:spacing w:before="60" w:after="60" w:line="288" w:lineRule="auto"/>
              <w:ind w:left="0" w:firstLine="0"/>
              <w:rPr>
                <w:rFonts w:ascii="Arial" w:hAnsi="Arial" w:cs="Arial"/>
                <w:b/>
                <w:szCs w:val="24"/>
              </w:rPr>
            </w:pPr>
            <w:r w:rsidRPr="00CF3873">
              <w:rPr>
                <w:rFonts w:ascii="Arial" w:hAnsi="Arial" w:cs="Arial"/>
                <w:b/>
                <w:szCs w:val="24"/>
              </w:rPr>
              <w:t>To ensure the link between waste and climate is understood, build partnerships, articulate what success looks like and discuss the steps and challenges with Boroughs and supply chains along the way.</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Key Achievements</w:t>
            </w:r>
          </w:p>
        </w:tc>
        <w:tc>
          <w:tcPr>
            <w:tcW w:w="7479" w:type="dxa"/>
            <w:tcBorders>
              <w:top w:val="single" w:sz="4" w:space="0" w:color="auto"/>
              <w:bottom w:val="single" w:sz="4" w:space="0" w:color="auto"/>
            </w:tcBorders>
          </w:tcPr>
          <w:p w:rsidR="005C5166" w:rsidRDefault="005C6BD4" w:rsidP="000F66EE">
            <w:pPr>
              <w:spacing w:before="60" w:after="60" w:line="288" w:lineRule="auto"/>
              <w:ind w:left="0" w:firstLine="0"/>
              <w:rPr>
                <w:rFonts w:ascii="Arial" w:hAnsi="Arial" w:cs="Arial"/>
                <w:szCs w:val="24"/>
              </w:rPr>
            </w:pPr>
            <w:r>
              <w:rPr>
                <w:rFonts w:ascii="Arial" w:hAnsi="Arial" w:cs="Arial"/>
                <w:szCs w:val="24"/>
              </w:rPr>
              <w:t>Calculated the social value of the furniture projects and procured a social value calculation tool</w:t>
            </w:r>
            <w:r w:rsidR="005C5166">
              <w:rPr>
                <w:rFonts w:ascii="Arial" w:hAnsi="Arial" w:cs="Arial"/>
                <w:szCs w:val="24"/>
              </w:rPr>
              <w:t>.</w:t>
            </w:r>
          </w:p>
          <w:p w:rsidR="005C5166" w:rsidRDefault="005C5166" w:rsidP="000F66EE">
            <w:pPr>
              <w:spacing w:before="60" w:after="60" w:line="288" w:lineRule="auto"/>
              <w:ind w:left="0" w:firstLine="0"/>
              <w:rPr>
                <w:rFonts w:ascii="Arial" w:hAnsi="Arial" w:cs="Arial"/>
                <w:szCs w:val="24"/>
              </w:rPr>
            </w:pPr>
            <w:r>
              <w:rPr>
                <w:rFonts w:ascii="Arial" w:hAnsi="Arial" w:cs="Arial"/>
                <w:szCs w:val="24"/>
              </w:rPr>
              <w:t>Industry presentations on social value, reuse and decarbonisation</w:t>
            </w:r>
            <w:r w:rsidR="005C6BD4">
              <w:rPr>
                <w:rFonts w:ascii="Arial" w:hAnsi="Arial" w:cs="Arial"/>
                <w:szCs w:val="24"/>
              </w:rPr>
              <w:t xml:space="preserve"> of projects for furniture, bicycles and </w:t>
            </w:r>
            <w:proofErr w:type="spellStart"/>
            <w:r w:rsidR="005C6BD4">
              <w:rPr>
                <w:rFonts w:ascii="Arial" w:hAnsi="Arial" w:cs="Arial"/>
                <w:szCs w:val="24"/>
              </w:rPr>
              <w:t>electricals</w:t>
            </w:r>
            <w:proofErr w:type="spellEnd"/>
            <w:r>
              <w:rPr>
                <w:rFonts w:ascii="Arial" w:hAnsi="Arial" w:cs="Arial"/>
                <w:szCs w:val="24"/>
              </w:rPr>
              <w:t>.</w:t>
            </w:r>
          </w:p>
          <w:p w:rsidR="005C5166" w:rsidRDefault="005C6BD4" w:rsidP="005C6BD4">
            <w:pPr>
              <w:spacing w:before="60" w:after="60" w:line="288" w:lineRule="auto"/>
              <w:ind w:left="0" w:firstLine="0"/>
              <w:rPr>
                <w:rFonts w:ascii="Arial" w:hAnsi="Arial" w:cs="Arial"/>
                <w:szCs w:val="24"/>
              </w:rPr>
            </w:pPr>
            <w:r>
              <w:rPr>
                <w:rFonts w:ascii="Arial" w:hAnsi="Arial" w:cs="Arial"/>
                <w:szCs w:val="24"/>
              </w:rPr>
              <w:t>Supply chain discussions on b</w:t>
            </w:r>
            <w:r w:rsidR="005C5166">
              <w:rPr>
                <w:rFonts w:ascii="Arial" w:hAnsi="Arial" w:cs="Arial"/>
                <w:szCs w:val="24"/>
              </w:rPr>
              <w:t xml:space="preserve">usiness </w:t>
            </w:r>
            <w:r>
              <w:rPr>
                <w:rFonts w:ascii="Arial" w:hAnsi="Arial" w:cs="Arial"/>
                <w:szCs w:val="24"/>
              </w:rPr>
              <w:t>p</w:t>
            </w:r>
            <w:r w:rsidR="005C5166">
              <w:rPr>
                <w:rFonts w:ascii="Arial" w:hAnsi="Arial" w:cs="Arial"/>
                <w:szCs w:val="24"/>
              </w:rPr>
              <w:t>lan</w:t>
            </w:r>
            <w:r>
              <w:rPr>
                <w:rFonts w:ascii="Arial" w:hAnsi="Arial" w:cs="Arial"/>
                <w:szCs w:val="24"/>
              </w:rPr>
              <w:t>ning</w:t>
            </w:r>
            <w:r w:rsidR="005C5166">
              <w:rPr>
                <w:rFonts w:ascii="Arial" w:hAnsi="Arial" w:cs="Arial"/>
                <w:szCs w:val="24"/>
              </w:rPr>
              <w:t xml:space="preserve"> for </w:t>
            </w:r>
            <w:r>
              <w:rPr>
                <w:rFonts w:ascii="Arial" w:hAnsi="Arial" w:cs="Arial"/>
                <w:szCs w:val="24"/>
              </w:rPr>
              <w:t>standalone c</w:t>
            </w:r>
            <w:r w:rsidR="005C5166">
              <w:rPr>
                <w:rFonts w:ascii="Arial" w:hAnsi="Arial" w:cs="Arial"/>
                <w:szCs w:val="24"/>
              </w:rPr>
              <w:t xml:space="preserve">ircular </w:t>
            </w:r>
            <w:r>
              <w:rPr>
                <w:rFonts w:ascii="Arial" w:hAnsi="Arial" w:cs="Arial"/>
                <w:szCs w:val="24"/>
              </w:rPr>
              <w:t>e</w:t>
            </w:r>
            <w:r w:rsidR="005C5166">
              <w:rPr>
                <w:rFonts w:ascii="Arial" w:hAnsi="Arial" w:cs="Arial"/>
                <w:szCs w:val="24"/>
              </w:rPr>
              <w:t xml:space="preserve">conomy </w:t>
            </w:r>
            <w:r>
              <w:rPr>
                <w:rFonts w:ascii="Arial" w:hAnsi="Arial" w:cs="Arial"/>
                <w:szCs w:val="24"/>
              </w:rPr>
              <w:t>h</w:t>
            </w:r>
            <w:r w:rsidR="005C5166">
              <w:rPr>
                <w:rFonts w:ascii="Arial" w:hAnsi="Arial" w:cs="Arial"/>
                <w:szCs w:val="24"/>
              </w:rPr>
              <w:t>ub</w:t>
            </w:r>
            <w:r>
              <w:rPr>
                <w:rFonts w:ascii="Arial" w:hAnsi="Arial" w:cs="Arial"/>
                <w:szCs w:val="24"/>
              </w:rPr>
              <w:t xml:space="preserve"> has started</w:t>
            </w:r>
            <w:r w:rsidR="005C5166">
              <w:rPr>
                <w:rFonts w:ascii="Arial" w:hAnsi="Arial" w:cs="Arial"/>
                <w:szCs w:val="24"/>
              </w:rPr>
              <w:t>.</w:t>
            </w:r>
          </w:p>
        </w:tc>
      </w:tr>
      <w:tr w:rsidR="005C5166" w:rsidTr="000F66EE">
        <w:tc>
          <w:tcPr>
            <w:tcW w:w="515" w:type="dxa"/>
          </w:tcPr>
          <w:p w:rsidR="005C5166" w:rsidRPr="00A44246" w:rsidRDefault="005C5166" w:rsidP="000F66EE">
            <w:pPr>
              <w:spacing w:before="60" w:after="60" w:line="288" w:lineRule="auto"/>
              <w:ind w:left="0" w:firstLine="0"/>
              <w:rPr>
                <w:rFonts w:ascii="Arial" w:hAnsi="Arial" w:cs="Arial"/>
                <w:b/>
                <w:szCs w:val="24"/>
              </w:rPr>
            </w:pPr>
          </w:p>
        </w:tc>
        <w:tc>
          <w:tcPr>
            <w:tcW w:w="2030" w:type="dxa"/>
            <w:tcBorders>
              <w:bottom w:val="single" w:sz="4" w:space="0" w:color="auto"/>
            </w:tcBorders>
          </w:tcPr>
          <w:p w:rsidR="005C5166" w:rsidRDefault="005C5166" w:rsidP="000F66EE">
            <w:pPr>
              <w:spacing w:before="60" w:after="60" w:line="288" w:lineRule="auto"/>
              <w:ind w:left="0" w:firstLine="0"/>
              <w:rPr>
                <w:rFonts w:ascii="Arial" w:hAnsi="Arial" w:cs="Arial"/>
                <w:szCs w:val="24"/>
              </w:rPr>
            </w:pPr>
            <w:r>
              <w:rPr>
                <w:rFonts w:ascii="Arial" w:hAnsi="Arial" w:cs="Arial"/>
                <w:szCs w:val="24"/>
              </w:rPr>
              <w:t>Lesson learned</w:t>
            </w:r>
          </w:p>
        </w:tc>
        <w:tc>
          <w:tcPr>
            <w:tcW w:w="7479" w:type="dxa"/>
            <w:tcBorders>
              <w:top w:val="single" w:sz="4" w:space="0" w:color="auto"/>
              <w:bottom w:val="single" w:sz="4" w:space="0" w:color="auto"/>
            </w:tcBorders>
          </w:tcPr>
          <w:p w:rsidR="005C5166" w:rsidRDefault="00083E6C" w:rsidP="00CD6A84">
            <w:pPr>
              <w:spacing w:before="60" w:after="60" w:line="288" w:lineRule="auto"/>
              <w:ind w:left="0" w:firstLine="0"/>
              <w:rPr>
                <w:rFonts w:ascii="Arial" w:hAnsi="Arial" w:cs="Arial"/>
                <w:szCs w:val="24"/>
              </w:rPr>
            </w:pPr>
            <w:r>
              <w:rPr>
                <w:rFonts w:ascii="Arial" w:hAnsi="Arial" w:cs="Arial"/>
                <w:szCs w:val="24"/>
              </w:rPr>
              <w:t>More</w:t>
            </w:r>
            <w:r w:rsidR="00CD6A84">
              <w:rPr>
                <w:rFonts w:ascii="Arial" w:hAnsi="Arial" w:cs="Arial"/>
                <w:szCs w:val="24"/>
              </w:rPr>
              <w:t xml:space="preserve"> time needed for communication and to develop s</w:t>
            </w:r>
            <w:r w:rsidR="005C5166">
              <w:rPr>
                <w:rFonts w:ascii="Arial" w:hAnsi="Arial" w:cs="Arial"/>
                <w:szCs w:val="24"/>
              </w:rPr>
              <w:t>kills</w:t>
            </w:r>
            <w:r w:rsidR="00CD6A84">
              <w:rPr>
                <w:rFonts w:ascii="Arial" w:hAnsi="Arial" w:cs="Arial"/>
                <w:szCs w:val="24"/>
              </w:rPr>
              <w:t>,</w:t>
            </w:r>
            <w:r w:rsidR="005C5166">
              <w:rPr>
                <w:rFonts w:ascii="Arial" w:hAnsi="Arial" w:cs="Arial"/>
                <w:szCs w:val="24"/>
              </w:rPr>
              <w:t xml:space="preserve"> behaviour</w:t>
            </w:r>
            <w:r w:rsidR="00CD6A84">
              <w:rPr>
                <w:rFonts w:ascii="Arial" w:hAnsi="Arial" w:cs="Arial"/>
                <w:szCs w:val="24"/>
              </w:rPr>
              <w:t>s and a shared understanding</w:t>
            </w:r>
            <w:r w:rsidR="005C5166">
              <w:rPr>
                <w:rFonts w:ascii="Arial" w:hAnsi="Arial" w:cs="Arial"/>
                <w:szCs w:val="24"/>
              </w:rPr>
              <w:t>.</w:t>
            </w:r>
          </w:p>
        </w:tc>
      </w:tr>
    </w:tbl>
    <w:p w:rsidR="00A94E9A" w:rsidRPr="00A8050E" w:rsidRDefault="00A94E9A" w:rsidP="00A8050E">
      <w:pPr>
        <w:pStyle w:val="ListParagraph"/>
        <w:spacing w:before="60" w:after="60" w:line="288" w:lineRule="auto"/>
        <w:ind w:left="170" w:firstLine="0"/>
        <w:rPr>
          <w:b/>
          <w:sz w:val="24"/>
          <w:szCs w:val="24"/>
        </w:rPr>
      </w:pPr>
      <w:r w:rsidRPr="00A8050E">
        <w:rPr>
          <w:sz w:val="24"/>
          <w:szCs w:val="24"/>
        </w:rPr>
        <w:t>Detail on the specific business plan activities can be found in Appendix 1.</w:t>
      </w:r>
    </w:p>
    <w:p w:rsidR="00183F77" w:rsidRPr="00183F77" w:rsidRDefault="00A8050E" w:rsidP="00DB6458">
      <w:pPr>
        <w:numPr>
          <w:ilvl w:val="0"/>
          <w:numId w:val="2"/>
        </w:numPr>
        <w:spacing w:before="60" w:after="60" w:line="288" w:lineRule="auto"/>
        <w:rPr>
          <w:rFonts w:ascii="Arial" w:hAnsi="Arial" w:cs="Arial"/>
          <w:b/>
          <w:szCs w:val="24"/>
        </w:rPr>
      </w:pPr>
      <w:r w:rsidRPr="00A57026">
        <w:rPr>
          <w:rFonts w:ascii="Arial" w:hAnsi="Arial" w:cs="Arial"/>
          <w:b/>
          <w:szCs w:val="24"/>
        </w:rPr>
        <w:t xml:space="preserve">Financial Implications </w:t>
      </w:r>
      <w:r w:rsidRPr="00A57026">
        <w:rPr>
          <w:rFonts w:ascii="Arial" w:hAnsi="Arial" w:cs="Arial"/>
          <w:szCs w:val="24"/>
        </w:rPr>
        <w:t xml:space="preserve">– </w:t>
      </w:r>
      <w:r w:rsidR="00CD6A84" w:rsidRPr="0002010D">
        <w:rPr>
          <w:rFonts w:ascii="Arial" w:hAnsi="Arial" w:cs="Arial"/>
          <w:szCs w:val="24"/>
        </w:rPr>
        <w:t>The financial aim of the business plan is to reduce waste and reinvest savings in change programmes</w:t>
      </w:r>
      <w:r w:rsidR="00183F77" w:rsidRPr="00183F77">
        <w:rPr>
          <w:rFonts w:ascii="Arial" w:hAnsi="Arial" w:cs="Arial"/>
          <w:szCs w:val="24"/>
        </w:rPr>
        <w:t xml:space="preserve"> </w:t>
      </w:r>
      <w:r w:rsidR="00183F77">
        <w:rPr>
          <w:rFonts w:ascii="Arial" w:hAnsi="Arial" w:cs="Arial"/>
          <w:szCs w:val="24"/>
        </w:rPr>
        <w:t>to mitigate the financial risk of waste growth and the risk of legislation to include energy from waste facilities in the Emissions Trading Scheme (ETS).  ETS will increase waste disposal cost per tonne and could be as much as £36pt or £3m per Borough per annum pressure on levies.</w:t>
      </w:r>
      <w:r w:rsidR="00CD6A84" w:rsidRPr="0002010D">
        <w:rPr>
          <w:rFonts w:ascii="Arial" w:hAnsi="Arial" w:cs="Arial"/>
          <w:szCs w:val="24"/>
        </w:rPr>
        <w:t xml:space="preserve">  </w:t>
      </w:r>
    </w:p>
    <w:p w:rsidR="00A71449" w:rsidRPr="0002010D" w:rsidRDefault="0002010D" w:rsidP="00A71449">
      <w:pPr>
        <w:spacing w:before="60" w:after="60" w:line="288" w:lineRule="auto"/>
        <w:ind w:left="170" w:firstLine="0"/>
        <w:rPr>
          <w:rFonts w:ascii="Arial" w:hAnsi="Arial" w:cs="Arial"/>
          <w:b/>
          <w:szCs w:val="24"/>
        </w:rPr>
      </w:pPr>
      <w:r w:rsidRPr="0002010D">
        <w:rPr>
          <w:rFonts w:ascii="Arial" w:hAnsi="Arial" w:cs="Arial"/>
          <w:szCs w:val="24"/>
        </w:rPr>
        <w:t xml:space="preserve">Waste </w:t>
      </w:r>
      <w:r w:rsidR="005C6BD4">
        <w:rPr>
          <w:rFonts w:ascii="Arial" w:hAnsi="Arial" w:cs="Arial"/>
          <w:szCs w:val="24"/>
        </w:rPr>
        <w:t xml:space="preserve">has reduced </w:t>
      </w:r>
      <w:r w:rsidR="00DB6458">
        <w:rPr>
          <w:rFonts w:ascii="Arial" w:hAnsi="Arial" w:cs="Arial"/>
          <w:szCs w:val="24"/>
        </w:rPr>
        <w:t xml:space="preserve">18,000 tones </w:t>
      </w:r>
      <w:r w:rsidR="005C6BD4">
        <w:rPr>
          <w:rFonts w:ascii="Arial" w:hAnsi="Arial" w:cs="Arial"/>
          <w:szCs w:val="24"/>
        </w:rPr>
        <w:t>below the pre-pandemic levels representing a</w:t>
      </w:r>
      <w:r w:rsidR="00DB6458">
        <w:rPr>
          <w:rFonts w:ascii="Arial" w:hAnsi="Arial" w:cs="Arial"/>
          <w:szCs w:val="24"/>
        </w:rPr>
        <w:t xml:space="preserve"> levy</w:t>
      </w:r>
      <w:r w:rsidR="005C6BD4">
        <w:rPr>
          <w:rFonts w:ascii="Arial" w:hAnsi="Arial" w:cs="Arial"/>
          <w:szCs w:val="24"/>
        </w:rPr>
        <w:t xml:space="preserve"> saving of c£.</w:t>
      </w:r>
      <w:r w:rsidR="00DB6458">
        <w:rPr>
          <w:rFonts w:ascii="Arial" w:hAnsi="Arial" w:cs="Arial"/>
          <w:szCs w:val="24"/>
        </w:rPr>
        <w:t>2.3min compared to status quo</w:t>
      </w:r>
      <w:r w:rsidRPr="0002010D">
        <w:rPr>
          <w:rFonts w:ascii="Arial" w:hAnsi="Arial" w:cs="Arial"/>
          <w:szCs w:val="24"/>
        </w:rPr>
        <w:t>.</w:t>
      </w:r>
      <w:r w:rsidR="00183F77">
        <w:rPr>
          <w:rFonts w:ascii="Arial" w:hAnsi="Arial" w:cs="Arial"/>
          <w:szCs w:val="24"/>
        </w:rPr>
        <w:t xml:space="preserve">  </w:t>
      </w:r>
      <w:r w:rsidR="00DB6458" w:rsidRPr="00DB6458">
        <w:rPr>
          <w:rFonts w:ascii="Arial" w:hAnsi="Arial" w:cs="Arial"/>
          <w:szCs w:val="24"/>
        </w:rPr>
        <w:t xml:space="preserve">Trade income </w:t>
      </w:r>
      <w:r w:rsidR="004515F4">
        <w:rPr>
          <w:rFonts w:ascii="Arial" w:hAnsi="Arial" w:cs="Arial"/>
          <w:szCs w:val="24"/>
        </w:rPr>
        <w:t xml:space="preserve">and profitability </w:t>
      </w:r>
      <w:r w:rsidR="00DB6458" w:rsidRPr="00DB6458">
        <w:rPr>
          <w:rFonts w:ascii="Arial" w:hAnsi="Arial" w:cs="Arial"/>
          <w:szCs w:val="24"/>
        </w:rPr>
        <w:t xml:space="preserve">at Abbey Road recycling centre was better than expected </w:t>
      </w:r>
      <w:r w:rsidR="004515F4">
        <w:rPr>
          <w:rFonts w:ascii="Arial" w:hAnsi="Arial" w:cs="Arial"/>
          <w:szCs w:val="24"/>
        </w:rPr>
        <w:t>due to the amount of sorting that takes place</w:t>
      </w:r>
      <w:r w:rsidR="00DB6458" w:rsidRPr="00DB6458">
        <w:rPr>
          <w:rFonts w:ascii="Arial" w:hAnsi="Arial" w:cs="Arial"/>
          <w:szCs w:val="24"/>
        </w:rPr>
        <w:t>.</w:t>
      </w:r>
      <w:r w:rsidR="00183F77">
        <w:rPr>
          <w:rFonts w:ascii="Arial" w:hAnsi="Arial" w:cs="Arial"/>
          <w:szCs w:val="24"/>
        </w:rPr>
        <w:t xml:space="preserve">  </w:t>
      </w:r>
      <w:r w:rsidR="00A8050E" w:rsidRPr="00DB6458">
        <w:rPr>
          <w:rFonts w:ascii="Arial" w:hAnsi="Arial" w:cs="Arial"/>
          <w:szCs w:val="24"/>
        </w:rPr>
        <w:t>The bu</w:t>
      </w:r>
      <w:r w:rsidR="00024ED4" w:rsidRPr="00DB6458">
        <w:rPr>
          <w:rFonts w:ascii="Arial" w:hAnsi="Arial" w:cs="Arial"/>
          <w:szCs w:val="24"/>
        </w:rPr>
        <w:t>siness plan was delivered within budget</w:t>
      </w:r>
      <w:r w:rsidR="00CD6A84" w:rsidRPr="00DB6458">
        <w:rPr>
          <w:rFonts w:ascii="Arial" w:hAnsi="Arial" w:cs="Arial"/>
          <w:szCs w:val="24"/>
        </w:rPr>
        <w:t xml:space="preserve"> for controllable costs </w:t>
      </w:r>
      <w:proofErr w:type="spellStart"/>
      <w:r w:rsidR="00CD6A84" w:rsidRPr="00DB6458">
        <w:rPr>
          <w:rFonts w:ascii="Arial" w:hAnsi="Arial" w:cs="Arial"/>
          <w:szCs w:val="24"/>
        </w:rPr>
        <w:t>eg</w:t>
      </w:r>
      <w:proofErr w:type="spellEnd"/>
      <w:r w:rsidR="00CD6A84" w:rsidRPr="00DB6458">
        <w:rPr>
          <w:rFonts w:ascii="Arial" w:hAnsi="Arial" w:cs="Arial"/>
          <w:szCs w:val="24"/>
        </w:rPr>
        <w:t xml:space="preserve"> employees</w:t>
      </w:r>
      <w:r w:rsidR="00483BB1" w:rsidRPr="00DB6458">
        <w:rPr>
          <w:rFonts w:ascii="Arial" w:hAnsi="Arial" w:cs="Arial"/>
          <w:szCs w:val="24"/>
        </w:rPr>
        <w:t xml:space="preserve"> -£8,000</w:t>
      </w:r>
      <w:r w:rsidR="007A307B">
        <w:rPr>
          <w:rFonts w:ascii="Arial" w:hAnsi="Arial" w:cs="Arial"/>
          <w:szCs w:val="24"/>
        </w:rPr>
        <w:t>.</w:t>
      </w:r>
      <w:r w:rsidR="00CD6A84" w:rsidRPr="00DB6458">
        <w:rPr>
          <w:rFonts w:ascii="Arial" w:hAnsi="Arial" w:cs="Arial"/>
          <w:szCs w:val="24"/>
        </w:rPr>
        <w:t xml:space="preserve"> </w:t>
      </w:r>
      <w:r w:rsidR="00183F77">
        <w:rPr>
          <w:rFonts w:ascii="Arial" w:hAnsi="Arial" w:cs="Arial"/>
          <w:szCs w:val="24"/>
        </w:rPr>
        <w:t xml:space="preserve"> </w:t>
      </w:r>
      <w:r w:rsidR="00A71449" w:rsidRPr="0002010D">
        <w:rPr>
          <w:rFonts w:ascii="Arial" w:hAnsi="Arial" w:cs="Arial"/>
          <w:szCs w:val="24"/>
        </w:rPr>
        <w:t xml:space="preserve">One off income from the residual waste services contract with West London Energy Recovery Ltd provided a significant disbursement of reserves to Boroughs and </w:t>
      </w:r>
      <w:r w:rsidRPr="0002010D">
        <w:rPr>
          <w:rFonts w:ascii="Arial" w:hAnsi="Arial" w:cs="Arial"/>
          <w:szCs w:val="24"/>
        </w:rPr>
        <w:t xml:space="preserve">£3m to invest in </w:t>
      </w:r>
      <w:r w:rsidR="00A71449" w:rsidRPr="0002010D">
        <w:rPr>
          <w:rFonts w:ascii="Arial" w:hAnsi="Arial" w:cs="Arial"/>
          <w:szCs w:val="24"/>
        </w:rPr>
        <w:t xml:space="preserve">transformation programmes </w:t>
      </w:r>
      <w:r w:rsidRPr="0002010D">
        <w:rPr>
          <w:rFonts w:ascii="Arial" w:hAnsi="Arial" w:cs="Arial"/>
          <w:szCs w:val="24"/>
        </w:rPr>
        <w:t>for the</w:t>
      </w:r>
      <w:r w:rsidR="00A71449" w:rsidRPr="0002010D">
        <w:rPr>
          <w:rFonts w:ascii="Arial" w:hAnsi="Arial" w:cs="Arial"/>
          <w:szCs w:val="24"/>
        </w:rPr>
        <w:t xml:space="preserve"> </w:t>
      </w:r>
      <w:r w:rsidRPr="0002010D">
        <w:rPr>
          <w:rFonts w:ascii="Arial" w:hAnsi="Arial" w:cs="Arial"/>
          <w:szCs w:val="24"/>
        </w:rPr>
        <w:t>following three years</w:t>
      </w:r>
      <w:r w:rsidR="00A71449" w:rsidRPr="0002010D">
        <w:rPr>
          <w:rFonts w:ascii="Arial" w:hAnsi="Arial" w:cs="Arial"/>
          <w:szCs w:val="24"/>
        </w:rPr>
        <w:t xml:space="preserve">.  </w:t>
      </w:r>
    </w:p>
    <w:p w:rsidR="006140E9" w:rsidRPr="006140E9" w:rsidRDefault="00A07F69" w:rsidP="00A07F69">
      <w:pPr>
        <w:numPr>
          <w:ilvl w:val="0"/>
          <w:numId w:val="2"/>
        </w:numPr>
        <w:spacing w:before="60" w:after="60" w:line="288" w:lineRule="auto"/>
        <w:rPr>
          <w:rFonts w:ascii="Arial" w:hAnsi="Arial" w:cs="Arial"/>
          <w:b/>
          <w:szCs w:val="24"/>
        </w:rPr>
      </w:pPr>
      <w:r>
        <w:rPr>
          <w:rFonts w:ascii="Arial" w:hAnsi="Arial" w:cs="Arial"/>
          <w:b/>
          <w:szCs w:val="24"/>
        </w:rPr>
        <w:t xml:space="preserve">Risk Management </w:t>
      </w:r>
      <w:r w:rsidRPr="00A07F69">
        <w:rPr>
          <w:rFonts w:ascii="Arial" w:hAnsi="Arial" w:cs="Arial"/>
          <w:szCs w:val="24"/>
        </w:rPr>
        <w:t>–</w:t>
      </w:r>
      <w:r w:rsidR="00A71449">
        <w:rPr>
          <w:rFonts w:ascii="Arial" w:hAnsi="Arial" w:cs="Arial"/>
          <w:szCs w:val="24"/>
        </w:rPr>
        <w:t xml:space="preserve"> </w:t>
      </w:r>
      <w:r w:rsidR="00083E6C">
        <w:rPr>
          <w:rFonts w:ascii="Arial" w:hAnsi="Arial" w:cs="Arial"/>
          <w:szCs w:val="24"/>
        </w:rPr>
        <w:t>R</w:t>
      </w:r>
      <w:r w:rsidR="00183F77">
        <w:rPr>
          <w:rFonts w:ascii="Arial" w:hAnsi="Arial" w:cs="Arial"/>
          <w:szCs w:val="24"/>
        </w:rPr>
        <w:t>einvest</w:t>
      </w:r>
      <w:r w:rsidR="00083E6C">
        <w:rPr>
          <w:rFonts w:ascii="Arial" w:hAnsi="Arial" w:cs="Arial"/>
          <w:szCs w:val="24"/>
        </w:rPr>
        <w:t>ing</w:t>
      </w:r>
      <w:r w:rsidR="00183F77">
        <w:rPr>
          <w:rFonts w:ascii="Arial" w:hAnsi="Arial" w:cs="Arial"/>
          <w:szCs w:val="24"/>
        </w:rPr>
        <w:t xml:space="preserve"> the disbursement of reserves into transformation programmes to mitigate future growth and the risk of ETS</w:t>
      </w:r>
      <w:r w:rsidR="00083E6C">
        <w:rPr>
          <w:rFonts w:ascii="Arial" w:hAnsi="Arial" w:cs="Arial"/>
          <w:szCs w:val="24"/>
        </w:rPr>
        <w:t xml:space="preserve"> tackles decarbonisation at the root</w:t>
      </w:r>
      <w:r w:rsidR="006140E9">
        <w:rPr>
          <w:rFonts w:ascii="Arial" w:hAnsi="Arial" w:cs="Arial"/>
          <w:szCs w:val="24"/>
        </w:rPr>
        <w:t>.</w:t>
      </w:r>
      <w:r w:rsidR="00183F77">
        <w:rPr>
          <w:rFonts w:ascii="Arial" w:hAnsi="Arial" w:cs="Arial"/>
          <w:szCs w:val="24"/>
        </w:rPr>
        <w:t xml:space="preserve">  Progress towards this should be monitored over the next 12-36 months.</w:t>
      </w:r>
    </w:p>
    <w:p w:rsidR="00A07F69" w:rsidRPr="00A71449" w:rsidRDefault="000F5DFD" w:rsidP="006140E9">
      <w:pPr>
        <w:spacing w:before="60" w:after="60" w:line="288" w:lineRule="auto"/>
        <w:ind w:left="170" w:firstLine="0"/>
        <w:rPr>
          <w:rFonts w:ascii="Arial" w:hAnsi="Arial" w:cs="Arial"/>
          <w:b/>
          <w:szCs w:val="24"/>
        </w:rPr>
      </w:pPr>
      <w:r w:rsidRPr="000F5DFD">
        <w:rPr>
          <w:rFonts w:ascii="Arial" w:hAnsi="Arial" w:cs="Arial"/>
          <w:szCs w:val="24"/>
        </w:rPr>
        <w:t xml:space="preserve">Specific business plan risks </w:t>
      </w:r>
      <w:r w:rsidR="00A07F69" w:rsidRPr="000F5DFD">
        <w:rPr>
          <w:rFonts w:ascii="Arial" w:hAnsi="Arial" w:cs="Arial"/>
          <w:szCs w:val="24"/>
        </w:rPr>
        <w:t xml:space="preserve">evident at the end of </w:t>
      </w:r>
      <w:r w:rsidRPr="000F5DFD">
        <w:rPr>
          <w:rFonts w:ascii="Arial" w:hAnsi="Arial" w:cs="Arial"/>
          <w:szCs w:val="24"/>
        </w:rPr>
        <w:t xml:space="preserve">2022-23 to be addressed in the 2023-24 Business Plan report </w:t>
      </w:r>
      <w:r w:rsidR="00A07F69" w:rsidRPr="000F5DFD">
        <w:rPr>
          <w:rFonts w:ascii="Arial" w:hAnsi="Arial" w:cs="Arial"/>
          <w:szCs w:val="24"/>
        </w:rPr>
        <w:t>are</w:t>
      </w:r>
      <w:r w:rsidR="00A71449">
        <w:rPr>
          <w:rFonts w:ascii="Arial" w:hAnsi="Arial" w:cs="Arial"/>
          <w:szCs w:val="24"/>
        </w:rPr>
        <w:t>:</w:t>
      </w:r>
    </w:p>
    <w:p w:rsidR="00A71449" w:rsidRPr="009D558C" w:rsidRDefault="00A71449" w:rsidP="00A71449">
      <w:pPr>
        <w:pStyle w:val="ListParagraph"/>
        <w:numPr>
          <w:ilvl w:val="0"/>
          <w:numId w:val="16"/>
        </w:numPr>
        <w:spacing w:before="60" w:after="60" w:line="288" w:lineRule="auto"/>
        <w:rPr>
          <w:b/>
          <w:sz w:val="24"/>
          <w:szCs w:val="24"/>
        </w:rPr>
      </w:pPr>
      <w:r w:rsidRPr="009D558C">
        <w:rPr>
          <w:sz w:val="24"/>
          <w:szCs w:val="24"/>
        </w:rPr>
        <w:t>Some significant business plan items have been rolled into 2023-24.</w:t>
      </w:r>
    </w:p>
    <w:p w:rsidR="00A07F69" w:rsidRPr="00643BDA" w:rsidRDefault="007A307B" w:rsidP="00643BDA">
      <w:pPr>
        <w:pStyle w:val="ListParagraph"/>
        <w:numPr>
          <w:ilvl w:val="0"/>
          <w:numId w:val="16"/>
        </w:numPr>
        <w:spacing w:before="60" w:after="60" w:line="288" w:lineRule="auto"/>
        <w:rPr>
          <w:sz w:val="24"/>
          <w:szCs w:val="24"/>
        </w:rPr>
      </w:pPr>
      <w:r w:rsidRPr="00643BDA">
        <w:rPr>
          <w:sz w:val="24"/>
          <w:szCs w:val="24"/>
        </w:rPr>
        <w:t>Two of the three teams were under resourced for much of the year</w:t>
      </w:r>
      <w:r w:rsidR="004515F4">
        <w:rPr>
          <w:sz w:val="24"/>
          <w:szCs w:val="24"/>
        </w:rPr>
        <w:t>.  Maintaining the correct level of resource is needed to support delivery</w:t>
      </w:r>
      <w:r w:rsidR="00643BDA" w:rsidRPr="00643BDA">
        <w:rPr>
          <w:sz w:val="24"/>
          <w:szCs w:val="24"/>
        </w:rPr>
        <w:t>.</w:t>
      </w:r>
    </w:p>
    <w:p w:rsidR="001342E2" w:rsidRPr="00A57026" w:rsidRDefault="001342E2" w:rsidP="00024ED4">
      <w:pPr>
        <w:numPr>
          <w:ilvl w:val="0"/>
          <w:numId w:val="2"/>
        </w:numPr>
        <w:spacing w:before="60" w:after="60" w:line="288" w:lineRule="auto"/>
        <w:ind w:firstLine="0"/>
        <w:rPr>
          <w:rFonts w:ascii="Arial" w:hAnsi="Arial" w:cs="Arial"/>
          <w:b/>
          <w:szCs w:val="24"/>
        </w:rPr>
      </w:pPr>
      <w:r w:rsidRPr="00A57026">
        <w:rPr>
          <w:rFonts w:ascii="Arial" w:hAnsi="Arial" w:cs="Arial"/>
          <w:b/>
          <w:szCs w:val="24"/>
        </w:rPr>
        <w:t xml:space="preserve">Health and Safety Implications </w:t>
      </w:r>
      <w:r w:rsidRPr="00A57026">
        <w:rPr>
          <w:rFonts w:ascii="Arial" w:hAnsi="Arial" w:cs="Arial"/>
          <w:szCs w:val="24"/>
        </w:rPr>
        <w:t>–</w:t>
      </w:r>
      <w:r w:rsidR="001F0F44">
        <w:rPr>
          <w:rFonts w:ascii="Arial" w:hAnsi="Arial" w:cs="Arial"/>
          <w:szCs w:val="24"/>
        </w:rPr>
        <w:t xml:space="preserve"> </w:t>
      </w:r>
      <w:r w:rsidR="006140E9">
        <w:rPr>
          <w:rFonts w:ascii="Arial" w:hAnsi="Arial" w:cs="Arial"/>
          <w:szCs w:val="24"/>
        </w:rPr>
        <w:t xml:space="preserve">The amount and scale of change on the sites is </w:t>
      </w:r>
      <w:r w:rsidR="00B052A1">
        <w:rPr>
          <w:rFonts w:ascii="Arial" w:hAnsi="Arial" w:cs="Arial"/>
          <w:szCs w:val="24"/>
        </w:rPr>
        <w:t xml:space="preserve">recognised as </w:t>
      </w:r>
      <w:proofErr w:type="gramStart"/>
      <w:r w:rsidR="00B052A1">
        <w:rPr>
          <w:rFonts w:ascii="Arial" w:hAnsi="Arial" w:cs="Arial"/>
          <w:szCs w:val="24"/>
        </w:rPr>
        <w:t>a</w:t>
      </w:r>
      <w:proofErr w:type="gramEnd"/>
      <w:r w:rsidR="006140E9">
        <w:rPr>
          <w:rFonts w:ascii="Arial" w:hAnsi="Arial" w:cs="Arial"/>
          <w:szCs w:val="24"/>
        </w:rPr>
        <w:t xml:space="preserve"> H&amp;S risk</w:t>
      </w:r>
      <w:r w:rsidR="00B052A1">
        <w:rPr>
          <w:rFonts w:ascii="Arial" w:hAnsi="Arial" w:cs="Arial"/>
          <w:szCs w:val="24"/>
        </w:rPr>
        <w:t xml:space="preserve"> and the </w:t>
      </w:r>
      <w:r w:rsidR="006140E9">
        <w:rPr>
          <w:rFonts w:ascii="Arial" w:hAnsi="Arial" w:cs="Arial"/>
          <w:szCs w:val="24"/>
        </w:rPr>
        <w:t>H</w:t>
      </w:r>
      <w:r w:rsidR="00B052A1">
        <w:rPr>
          <w:rFonts w:ascii="Arial" w:hAnsi="Arial" w:cs="Arial"/>
          <w:szCs w:val="24"/>
        </w:rPr>
        <w:t xml:space="preserve">ealth and </w:t>
      </w:r>
      <w:r w:rsidR="006140E9">
        <w:rPr>
          <w:rFonts w:ascii="Arial" w:hAnsi="Arial" w:cs="Arial"/>
          <w:szCs w:val="24"/>
        </w:rPr>
        <w:t>S</w:t>
      </w:r>
      <w:r w:rsidR="00B052A1">
        <w:rPr>
          <w:rFonts w:ascii="Arial" w:hAnsi="Arial" w:cs="Arial"/>
          <w:szCs w:val="24"/>
        </w:rPr>
        <w:t>afety</w:t>
      </w:r>
      <w:r w:rsidR="006140E9">
        <w:rPr>
          <w:rFonts w:ascii="Arial" w:hAnsi="Arial" w:cs="Arial"/>
          <w:szCs w:val="24"/>
        </w:rPr>
        <w:t xml:space="preserve"> </w:t>
      </w:r>
      <w:r w:rsidR="00B052A1">
        <w:rPr>
          <w:rFonts w:ascii="Arial" w:hAnsi="Arial" w:cs="Arial"/>
          <w:szCs w:val="24"/>
        </w:rPr>
        <w:t>A</w:t>
      </w:r>
      <w:r w:rsidR="006140E9">
        <w:rPr>
          <w:rFonts w:ascii="Arial" w:hAnsi="Arial" w:cs="Arial"/>
          <w:szCs w:val="24"/>
        </w:rPr>
        <w:t>dvisor</w:t>
      </w:r>
      <w:r w:rsidR="00B052A1">
        <w:rPr>
          <w:rFonts w:ascii="Arial" w:hAnsi="Arial" w:cs="Arial"/>
          <w:szCs w:val="24"/>
        </w:rPr>
        <w:t xml:space="preserve"> is</w:t>
      </w:r>
      <w:r w:rsidR="006140E9">
        <w:rPr>
          <w:rFonts w:ascii="Arial" w:hAnsi="Arial" w:cs="Arial"/>
          <w:szCs w:val="24"/>
        </w:rPr>
        <w:t xml:space="preserve"> </w:t>
      </w:r>
      <w:r w:rsidR="009D558C">
        <w:rPr>
          <w:rFonts w:ascii="Arial" w:hAnsi="Arial" w:cs="Arial"/>
          <w:szCs w:val="24"/>
        </w:rPr>
        <w:t>focused on</w:t>
      </w:r>
      <w:r w:rsidR="006140E9">
        <w:rPr>
          <w:rFonts w:ascii="Arial" w:hAnsi="Arial" w:cs="Arial"/>
          <w:szCs w:val="24"/>
        </w:rPr>
        <w:t xml:space="preserve"> the change programmes and circular economy as part of the work programme</w:t>
      </w:r>
      <w:r w:rsidRPr="00A57026">
        <w:rPr>
          <w:rFonts w:ascii="Arial" w:hAnsi="Arial" w:cs="Arial"/>
          <w:szCs w:val="24"/>
        </w:rPr>
        <w:t>.</w:t>
      </w:r>
      <w:r w:rsidR="006140E9">
        <w:rPr>
          <w:rFonts w:ascii="Arial" w:hAnsi="Arial" w:cs="Arial"/>
          <w:szCs w:val="24"/>
        </w:rPr>
        <w:t xml:space="preserve">  </w:t>
      </w:r>
      <w:r w:rsidR="00B052A1">
        <w:rPr>
          <w:rFonts w:ascii="Arial" w:hAnsi="Arial" w:cs="Arial"/>
          <w:szCs w:val="24"/>
        </w:rPr>
        <w:t>Lessons are learned and continuous improvement is reported to the senior leadership team.</w:t>
      </w:r>
      <w:r w:rsidRPr="00A57026">
        <w:rPr>
          <w:rFonts w:ascii="Arial" w:hAnsi="Arial" w:cs="Arial"/>
          <w:b/>
          <w:szCs w:val="24"/>
        </w:rPr>
        <w:t xml:space="preserve"> </w:t>
      </w:r>
      <w:r w:rsidR="001F0F44">
        <w:rPr>
          <w:rFonts w:ascii="Arial" w:hAnsi="Arial" w:cs="Arial"/>
          <w:szCs w:val="24"/>
        </w:rPr>
        <w:t xml:space="preserve">Employee stress and wellbeing is monitored using the sentiment scores in weekly updates in the HR software Lattice.  The employee engagement survey is scheduled to take place in early June 2023.  </w:t>
      </w:r>
    </w:p>
    <w:p w:rsidR="001F0F44" w:rsidRPr="001F0F44" w:rsidRDefault="001342E2" w:rsidP="00024ED4">
      <w:pPr>
        <w:numPr>
          <w:ilvl w:val="0"/>
          <w:numId w:val="2"/>
        </w:numPr>
        <w:spacing w:before="60" w:after="60" w:line="288" w:lineRule="auto"/>
        <w:ind w:left="142" w:firstLine="0"/>
        <w:rPr>
          <w:rFonts w:ascii="Arial" w:hAnsi="Arial" w:cs="Arial"/>
          <w:b/>
          <w:szCs w:val="24"/>
        </w:rPr>
      </w:pPr>
      <w:r w:rsidRPr="00544A8D">
        <w:rPr>
          <w:rFonts w:ascii="Arial" w:hAnsi="Arial" w:cs="Arial"/>
          <w:b/>
          <w:szCs w:val="24"/>
        </w:rPr>
        <w:t xml:space="preserve">Legal Implications </w:t>
      </w:r>
      <w:r w:rsidRPr="00544A8D">
        <w:rPr>
          <w:rFonts w:ascii="Arial" w:hAnsi="Arial" w:cs="Arial"/>
          <w:szCs w:val="24"/>
        </w:rPr>
        <w:t xml:space="preserve">– </w:t>
      </w:r>
      <w:r w:rsidR="001F0F44">
        <w:rPr>
          <w:rFonts w:ascii="Arial" w:hAnsi="Arial" w:cs="Arial"/>
          <w:szCs w:val="24"/>
        </w:rPr>
        <w:t>The Plastics Tax (Treasury), The Environment Act (Defra), The Electricity Generators Levy and Persistent Organic Pollutants (Environment Agency Regulations) are already having an impact on waste flows.</w:t>
      </w:r>
    </w:p>
    <w:p w:rsidR="005005D3" w:rsidRDefault="001342E2" w:rsidP="001F0F44">
      <w:pPr>
        <w:spacing w:before="60" w:after="60" w:line="288" w:lineRule="auto"/>
        <w:ind w:left="142" w:firstLine="0"/>
        <w:rPr>
          <w:rFonts w:ascii="Arial" w:hAnsi="Arial"/>
          <w:szCs w:val="24"/>
        </w:rPr>
      </w:pPr>
      <w:r>
        <w:rPr>
          <w:rFonts w:ascii="Arial" w:hAnsi="Arial" w:cs="Arial"/>
          <w:szCs w:val="24"/>
        </w:rPr>
        <w:t xml:space="preserve">The Regulations to follow the Environment Act 2021 </w:t>
      </w:r>
      <w:r w:rsidR="00083E6C">
        <w:rPr>
          <w:rFonts w:ascii="Arial" w:hAnsi="Arial" w:cs="Arial"/>
          <w:szCs w:val="24"/>
        </w:rPr>
        <w:t>are</w:t>
      </w:r>
      <w:r>
        <w:rPr>
          <w:rFonts w:ascii="Arial" w:hAnsi="Arial" w:cs="Arial"/>
          <w:szCs w:val="24"/>
        </w:rPr>
        <w:t xml:space="preserve"> not yet published </w:t>
      </w:r>
      <w:r w:rsidR="00083E6C">
        <w:rPr>
          <w:rFonts w:ascii="Arial" w:hAnsi="Arial" w:cs="Arial"/>
          <w:szCs w:val="24"/>
        </w:rPr>
        <w:t>but</w:t>
      </w:r>
      <w:r>
        <w:rPr>
          <w:rFonts w:ascii="Arial" w:hAnsi="Arial" w:cs="Arial"/>
          <w:szCs w:val="24"/>
        </w:rPr>
        <w:t xml:space="preserve"> </w:t>
      </w:r>
      <w:r w:rsidR="00BF04ED">
        <w:rPr>
          <w:rFonts w:ascii="Arial" w:hAnsi="Arial" w:cs="Arial"/>
          <w:szCs w:val="24"/>
        </w:rPr>
        <w:t>are</w:t>
      </w:r>
      <w:r>
        <w:rPr>
          <w:rFonts w:ascii="Arial" w:hAnsi="Arial" w:cs="Arial"/>
          <w:szCs w:val="24"/>
        </w:rPr>
        <w:t xml:space="preserve"> crucial to de</w:t>
      </w:r>
      <w:r w:rsidR="00BF04ED">
        <w:rPr>
          <w:rFonts w:ascii="Arial" w:hAnsi="Arial" w:cs="Arial"/>
          <w:szCs w:val="24"/>
        </w:rPr>
        <w:t>cision making</w:t>
      </w:r>
      <w:r>
        <w:rPr>
          <w:rFonts w:ascii="Arial" w:hAnsi="Arial" w:cs="Arial"/>
          <w:szCs w:val="24"/>
        </w:rPr>
        <w:t>.</w:t>
      </w:r>
      <w:r w:rsidR="00BF04ED">
        <w:rPr>
          <w:rFonts w:ascii="Arial" w:hAnsi="Arial" w:cs="Arial"/>
          <w:szCs w:val="24"/>
        </w:rPr>
        <w:t xml:space="preserve">  </w:t>
      </w:r>
      <w:r w:rsidR="005005D3" w:rsidRPr="00BF04ED">
        <w:rPr>
          <w:rFonts w:ascii="Arial" w:hAnsi="Arial" w:cs="Arial"/>
          <w:szCs w:val="24"/>
        </w:rPr>
        <w:t>Statutory, national and London targets</w:t>
      </w:r>
      <w:r w:rsidR="005005D3">
        <w:rPr>
          <w:rFonts w:ascii="Arial" w:hAnsi="Arial"/>
          <w:szCs w:val="24"/>
        </w:rPr>
        <w:t xml:space="preserve"> have set the scene for </w:t>
      </w:r>
      <w:r w:rsidR="005005D3" w:rsidRPr="00544A8D">
        <w:rPr>
          <w:rFonts w:ascii="Arial" w:hAnsi="Arial"/>
          <w:szCs w:val="24"/>
        </w:rPr>
        <w:t xml:space="preserve">the first few years of our joint municipal waste management strategy </w:t>
      </w:r>
      <w:r w:rsidR="005005D3">
        <w:rPr>
          <w:rFonts w:ascii="Arial" w:hAnsi="Arial"/>
          <w:szCs w:val="24"/>
        </w:rPr>
        <w:t>whilst we wait for the Regulations that follow the Environment Act 2021</w:t>
      </w:r>
      <w:r w:rsidR="005005D3" w:rsidRPr="00544A8D">
        <w:rPr>
          <w:rFonts w:ascii="Arial" w:hAnsi="Arial"/>
          <w:szCs w:val="24"/>
        </w:rPr>
        <w: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878"/>
        <w:gridCol w:w="3685"/>
        <w:gridCol w:w="2126"/>
      </w:tblGrid>
      <w:tr w:rsidR="00B052A1" w:rsidRPr="001C25EE" w:rsidTr="009F4E65">
        <w:tc>
          <w:tcPr>
            <w:tcW w:w="517" w:type="dxa"/>
          </w:tcPr>
          <w:p w:rsidR="00B052A1" w:rsidRPr="001C25EE" w:rsidRDefault="00B052A1" w:rsidP="0027710C">
            <w:pPr>
              <w:spacing w:before="60" w:after="60" w:line="288" w:lineRule="auto"/>
              <w:ind w:left="0" w:firstLine="0"/>
              <w:rPr>
                <w:rFonts w:ascii="Arial" w:hAnsi="Arial" w:cs="Arial"/>
                <w:b/>
                <w:szCs w:val="24"/>
              </w:rPr>
            </w:pPr>
          </w:p>
        </w:tc>
        <w:tc>
          <w:tcPr>
            <w:tcW w:w="3878" w:type="dxa"/>
          </w:tcPr>
          <w:p w:rsidR="00B052A1" w:rsidRPr="001C25EE" w:rsidRDefault="00B052A1" w:rsidP="0027710C">
            <w:pPr>
              <w:spacing w:before="60" w:after="60" w:line="288" w:lineRule="auto"/>
              <w:ind w:left="0" w:firstLine="0"/>
              <w:rPr>
                <w:rFonts w:ascii="Arial" w:hAnsi="Arial" w:cs="Arial"/>
                <w:b/>
                <w:szCs w:val="24"/>
              </w:rPr>
            </w:pPr>
            <w:r w:rsidRPr="001C25EE">
              <w:rPr>
                <w:rFonts w:ascii="Arial" w:hAnsi="Arial" w:cs="Arial"/>
                <w:b/>
                <w:szCs w:val="24"/>
              </w:rPr>
              <w:t>UK National target</w:t>
            </w:r>
          </w:p>
        </w:tc>
        <w:tc>
          <w:tcPr>
            <w:tcW w:w="3685" w:type="dxa"/>
          </w:tcPr>
          <w:p w:rsidR="00B052A1" w:rsidRPr="001C25EE" w:rsidRDefault="00B052A1" w:rsidP="0027710C">
            <w:pPr>
              <w:spacing w:before="60" w:after="60" w:line="288" w:lineRule="auto"/>
              <w:ind w:left="0" w:firstLine="0"/>
              <w:rPr>
                <w:rFonts w:ascii="Arial" w:hAnsi="Arial" w:cs="Arial"/>
                <w:b/>
                <w:szCs w:val="24"/>
              </w:rPr>
            </w:pPr>
            <w:r w:rsidRPr="001C25EE">
              <w:rPr>
                <w:rFonts w:ascii="Arial" w:hAnsi="Arial" w:cs="Arial"/>
                <w:b/>
                <w:szCs w:val="24"/>
              </w:rPr>
              <w:t>London target</w:t>
            </w:r>
          </w:p>
        </w:tc>
        <w:tc>
          <w:tcPr>
            <w:tcW w:w="2126" w:type="dxa"/>
          </w:tcPr>
          <w:p w:rsidR="00B052A1" w:rsidRPr="001C25EE" w:rsidRDefault="00B052A1" w:rsidP="0027710C">
            <w:pPr>
              <w:spacing w:before="60" w:after="60" w:line="288" w:lineRule="auto"/>
              <w:ind w:left="0" w:firstLine="0"/>
              <w:rPr>
                <w:rFonts w:ascii="Arial" w:hAnsi="Arial" w:cs="Arial"/>
                <w:b/>
                <w:szCs w:val="24"/>
              </w:rPr>
            </w:pPr>
            <w:r>
              <w:rPr>
                <w:rFonts w:ascii="Arial" w:hAnsi="Arial" w:cs="Arial"/>
                <w:b/>
                <w:szCs w:val="24"/>
              </w:rPr>
              <w:t>Borough target</w:t>
            </w:r>
          </w:p>
        </w:tc>
      </w:tr>
      <w:tr w:rsidR="00B052A1" w:rsidRPr="009D558C" w:rsidTr="009F4E65">
        <w:tc>
          <w:tcPr>
            <w:tcW w:w="517" w:type="dxa"/>
          </w:tcPr>
          <w:p w:rsidR="00B052A1" w:rsidRDefault="00B052A1" w:rsidP="009D558C">
            <w:pPr>
              <w:spacing w:before="60" w:after="60" w:line="288" w:lineRule="auto"/>
              <w:ind w:left="0" w:firstLine="0"/>
              <w:rPr>
                <w:rFonts w:ascii="Arial" w:hAnsi="Arial" w:cs="Arial"/>
                <w:szCs w:val="24"/>
              </w:rPr>
            </w:pPr>
            <w:r>
              <w:rPr>
                <w:rFonts w:ascii="Arial" w:hAnsi="Arial" w:cs="Arial"/>
                <w:szCs w:val="24"/>
              </w:rPr>
              <w:t>1</w:t>
            </w:r>
          </w:p>
        </w:tc>
        <w:tc>
          <w:tcPr>
            <w:tcW w:w="3878" w:type="dxa"/>
          </w:tcPr>
          <w:p w:rsidR="00B052A1" w:rsidRPr="009D558C" w:rsidRDefault="00B052A1" w:rsidP="009D558C">
            <w:pPr>
              <w:spacing w:before="60" w:after="60" w:line="288" w:lineRule="auto"/>
              <w:ind w:left="0" w:firstLine="0"/>
              <w:rPr>
                <w:rFonts w:ascii="Arial" w:hAnsi="Arial" w:cs="Arial"/>
                <w:szCs w:val="24"/>
              </w:rPr>
            </w:pPr>
            <w:r>
              <w:rPr>
                <w:rFonts w:ascii="Arial" w:hAnsi="Arial" w:cs="Arial"/>
                <w:szCs w:val="24"/>
              </w:rPr>
              <w:t>Call for evidence: Near elimination of biodegradable waste from landfill by 2028</w:t>
            </w:r>
            <w:r w:rsidRPr="009D558C">
              <w:rPr>
                <w:rFonts w:ascii="Arial" w:hAnsi="Arial" w:cs="Arial"/>
                <w:szCs w:val="24"/>
              </w:rPr>
              <w:t xml:space="preserve"> </w:t>
            </w:r>
          </w:p>
        </w:tc>
        <w:tc>
          <w:tcPr>
            <w:tcW w:w="3685" w:type="dxa"/>
          </w:tcPr>
          <w:p w:rsidR="00B052A1" w:rsidRPr="009D558C" w:rsidRDefault="00B052A1" w:rsidP="0027710C">
            <w:pPr>
              <w:spacing w:before="60" w:after="60" w:line="288" w:lineRule="auto"/>
              <w:ind w:left="0" w:firstLine="0"/>
              <w:rPr>
                <w:rFonts w:ascii="Arial" w:hAnsi="Arial" w:cs="Arial"/>
                <w:szCs w:val="24"/>
              </w:rPr>
            </w:pPr>
            <w:r>
              <w:rPr>
                <w:rFonts w:ascii="Arial" w:hAnsi="Arial" w:cs="Arial"/>
                <w:szCs w:val="24"/>
              </w:rPr>
              <w:t>Zero biodegradable or recyclable waste to landfill by 2026</w:t>
            </w:r>
          </w:p>
        </w:tc>
        <w:tc>
          <w:tcPr>
            <w:tcW w:w="2126" w:type="dxa"/>
          </w:tcPr>
          <w:p w:rsidR="00B052A1" w:rsidRPr="009D558C" w:rsidRDefault="00B052A1" w:rsidP="0027710C">
            <w:pPr>
              <w:spacing w:before="60" w:after="60" w:line="288" w:lineRule="auto"/>
              <w:ind w:left="0" w:firstLine="0"/>
              <w:rPr>
                <w:rFonts w:ascii="Arial" w:hAnsi="Arial" w:cs="Arial"/>
                <w:szCs w:val="24"/>
              </w:rPr>
            </w:pPr>
          </w:p>
        </w:tc>
      </w:tr>
      <w:tr w:rsidR="00B052A1" w:rsidRPr="0022162D" w:rsidTr="009F4E65">
        <w:tc>
          <w:tcPr>
            <w:tcW w:w="517" w:type="dxa"/>
          </w:tcPr>
          <w:p w:rsidR="00B052A1" w:rsidRPr="0022162D" w:rsidRDefault="00B052A1" w:rsidP="0027710C">
            <w:pPr>
              <w:spacing w:before="60" w:after="60" w:line="288" w:lineRule="auto"/>
              <w:ind w:left="0" w:firstLine="0"/>
              <w:rPr>
                <w:rFonts w:ascii="Arial" w:hAnsi="Arial" w:cs="Arial"/>
                <w:szCs w:val="24"/>
              </w:rPr>
            </w:pPr>
            <w:r>
              <w:rPr>
                <w:rFonts w:ascii="Arial" w:hAnsi="Arial" w:cs="Arial"/>
                <w:szCs w:val="24"/>
              </w:rPr>
              <w:lastRenderedPageBreak/>
              <w:t>2</w:t>
            </w:r>
          </w:p>
        </w:tc>
        <w:tc>
          <w:tcPr>
            <w:tcW w:w="3878" w:type="dxa"/>
          </w:tcPr>
          <w:p w:rsidR="00B052A1" w:rsidRPr="0022162D" w:rsidRDefault="00B052A1" w:rsidP="0027710C">
            <w:pPr>
              <w:spacing w:before="60" w:after="60" w:line="288" w:lineRule="auto"/>
              <w:ind w:left="0" w:firstLine="0"/>
              <w:rPr>
                <w:rFonts w:ascii="Arial" w:hAnsi="Arial" w:cs="Arial"/>
                <w:szCs w:val="24"/>
              </w:rPr>
            </w:pPr>
            <w:r w:rsidRPr="0022162D">
              <w:rPr>
                <w:rFonts w:ascii="Arial" w:hAnsi="Arial" w:cs="Arial"/>
                <w:szCs w:val="24"/>
              </w:rPr>
              <w:t>Net Zero greenhouse gas emissions by 2050</w:t>
            </w:r>
          </w:p>
        </w:tc>
        <w:tc>
          <w:tcPr>
            <w:tcW w:w="3685" w:type="dxa"/>
          </w:tcPr>
          <w:p w:rsidR="00B052A1" w:rsidRPr="0022162D" w:rsidRDefault="00B052A1" w:rsidP="0027710C">
            <w:pPr>
              <w:spacing w:before="60" w:after="60" w:line="288" w:lineRule="auto"/>
              <w:ind w:left="0" w:firstLine="0"/>
              <w:rPr>
                <w:rFonts w:ascii="Arial" w:hAnsi="Arial" w:cs="Arial"/>
                <w:szCs w:val="24"/>
              </w:rPr>
            </w:pPr>
            <w:r w:rsidRPr="0022162D">
              <w:rPr>
                <w:rFonts w:ascii="Arial" w:hAnsi="Arial" w:cs="Arial"/>
                <w:szCs w:val="24"/>
              </w:rPr>
              <w:t>Net Zero greenhouse gas emissions by 2030</w:t>
            </w:r>
          </w:p>
        </w:tc>
        <w:tc>
          <w:tcPr>
            <w:tcW w:w="2126" w:type="dxa"/>
          </w:tcPr>
          <w:p w:rsidR="00B052A1" w:rsidRPr="0022162D" w:rsidRDefault="00B052A1" w:rsidP="0027710C">
            <w:pPr>
              <w:spacing w:before="60" w:after="60" w:line="288" w:lineRule="auto"/>
              <w:ind w:left="0" w:firstLine="0"/>
              <w:rPr>
                <w:rFonts w:ascii="Arial" w:hAnsi="Arial" w:cs="Arial"/>
                <w:szCs w:val="24"/>
              </w:rPr>
            </w:pPr>
            <w:r>
              <w:rPr>
                <w:rFonts w:ascii="Arial" w:hAnsi="Arial" w:cs="Arial"/>
                <w:szCs w:val="24"/>
              </w:rPr>
              <w:t>Carbon neutral by 2030</w:t>
            </w:r>
          </w:p>
        </w:tc>
      </w:tr>
      <w:tr w:rsidR="00B052A1" w:rsidRPr="0022162D" w:rsidTr="009F4E65">
        <w:tc>
          <w:tcPr>
            <w:tcW w:w="517" w:type="dxa"/>
          </w:tcPr>
          <w:p w:rsidR="00B052A1" w:rsidRPr="0022162D" w:rsidRDefault="00B052A1" w:rsidP="0027710C">
            <w:pPr>
              <w:spacing w:before="60" w:after="60" w:line="288" w:lineRule="auto"/>
              <w:ind w:left="0" w:firstLine="0"/>
              <w:rPr>
                <w:rFonts w:ascii="Arial" w:hAnsi="Arial" w:cs="Arial"/>
                <w:szCs w:val="24"/>
              </w:rPr>
            </w:pPr>
            <w:r>
              <w:rPr>
                <w:rFonts w:ascii="Arial" w:hAnsi="Arial" w:cs="Arial"/>
                <w:szCs w:val="24"/>
              </w:rPr>
              <w:t>3</w:t>
            </w:r>
          </w:p>
        </w:tc>
        <w:tc>
          <w:tcPr>
            <w:tcW w:w="3878" w:type="dxa"/>
          </w:tcPr>
          <w:p w:rsidR="00B052A1" w:rsidRPr="0022162D" w:rsidRDefault="00B052A1" w:rsidP="0027710C">
            <w:pPr>
              <w:spacing w:before="60" w:after="60" w:line="288" w:lineRule="auto"/>
              <w:ind w:left="0" w:firstLine="0"/>
              <w:rPr>
                <w:rFonts w:ascii="Arial" w:hAnsi="Arial" w:cs="Arial"/>
                <w:szCs w:val="24"/>
              </w:rPr>
            </w:pPr>
            <w:r w:rsidRPr="0022162D">
              <w:rPr>
                <w:rFonts w:ascii="Arial" w:hAnsi="Arial" w:cs="Arial"/>
                <w:szCs w:val="24"/>
              </w:rPr>
              <w:t>65% recycling by 2035</w:t>
            </w:r>
          </w:p>
        </w:tc>
        <w:tc>
          <w:tcPr>
            <w:tcW w:w="3685" w:type="dxa"/>
          </w:tcPr>
          <w:p w:rsidR="00B052A1" w:rsidRPr="0022162D" w:rsidRDefault="00B052A1" w:rsidP="0027710C">
            <w:pPr>
              <w:spacing w:before="60" w:after="60" w:line="288" w:lineRule="auto"/>
              <w:ind w:left="0" w:firstLine="0"/>
              <w:rPr>
                <w:rFonts w:ascii="Arial" w:hAnsi="Arial" w:cs="Arial"/>
                <w:szCs w:val="24"/>
              </w:rPr>
            </w:pPr>
            <w:r w:rsidRPr="0022162D">
              <w:rPr>
                <w:rFonts w:ascii="Arial" w:hAnsi="Arial" w:cs="Arial"/>
                <w:szCs w:val="24"/>
              </w:rPr>
              <w:t>65% recycling by 2030</w:t>
            </w:r>
          </w:p>
        </w:tc>
        <w:tc>
          <w:tcPr>
            <w:tcW w:w="2126" w:type="dxa"/>
          </w:tcPr>
          <w:p w:rsidR="00B052A1" w:rsidRPr="0022162D" w:rsidRDefault="00B052A1" w:rsidP="0027710C">
            <w:pPr>
              <w:spacing w:before="60" w:after="60" w:line="288" w:lineRule="auto"/>
              <w:ind w:left="0" w:firstLine="0"/>
              <w:rPr>
                <w:rFonts w:ascii="Arial" w:hAnsi="Arial" w:cs="Arial"/>
                <w:szCs w:val="24"/>
              </w:rPr>
            </w:pPr>
          </w:p>
        </w:tc>
      </w:tr>
      <w:tr w:rsidR="00B052A1" w:rsidRPr="0022162D" w:rsidTr="009F4E65">
        <w:tc>
          <w:tcPr>
            <w:tcW w:w="517" w:type="dxa"/>
          </w:tcPr>
          <w:p w:rsidR="00B052A1" w:rsidRPr="0022162D" w:rsidRDefault="00B052A1" w:rsidP="0027710C">
            <w:pPr>
              <w:spacing w:before="60" w:after="60" w:line="288" w:lineRule="auto"/>
              <w:ind w:left="0" w:firstLine="0"/>
              <w:rPr>
                <w:rFonts w:ascii="Arial" w:hAnsi="Arial" w:cs="Arial"/>
                <w:szCs w:val="24"/>
              </w:rPr>
            </w:pPr>
            <w:r>
              <w:rPr>
                <w:rFonts w:ascii="Arial" w:hAnsi="Arial" w:cs="Arial"/>
                <w:szCs w:val="24"/>
              </w:rPr>
              <w:t>4</w:t>
            </w:r>
          </w:p>
        </w:tc>
        <w:tc>
          <w:tcPr>
            <w:tcW w:w="3878" w:type="dxa"/>
          </w:tcPr>
          <w:p w:rsidR="00B052A1" w:rsidRPr="0022162D" w:rsidRDefault="00B052A1" w:rsidP="0027710C">
            <w:pPr>
              <w:spacing w:before="60" w:after="60" w:line="288" w:lineRule="auto"/>
              <w:ind w:left="0" w:firstLine="0"/>
              <w:rPr>
                <w:rFonts w:ascii="Arial" w:hAnsi="Arial" w:cs="Arial"/>
                <w:szCs w:val="24"/>
              </w:rPr>
            </w:pPr>
          </w:p>
        </w:tc>
        <w:tc>
          <w:tcPr>
            <w:tcW w:w="3685" w:type="dxa"/>
          </w:tcPr>
          <w:p w:rsidR="00B052A1" w:rsidRPr="0022162D" w:rsidRDefault="00B052A1" w:rsidP="0027710C">
            <w:pPr>
              <w:spacing w:before="60" w:after="60" w:line="288" w:lineRule="auto"/>
              <w:ind w:left="0" w:firstLine="0"/>
              <w:rPr>
                <w:rFonts w:ascii="Arial" w:hAnsi="Arial" w:cs="Arial"/>
                <w:szCs w:val="24"/>
              </w:rPr>
            </w:pPr>
            <w:r w:rsidRPr="0022162D">
              <w:rPr>
                <w:rFonts w:ascii="Arial" w:hAnsi="Arial" w:cs="Arial"/>
                <w:szCs w:val="24"/>
              </w:rPr>
              <w:t>Zero vehicle emissions by 2050</w:t>
            </w:r>
          </w:p>
        </w:tc>
        <w:tc>
          <w:tcPr>
            <w:tcW w:w="2126" w:type="dxa"/>
          </w:tcPr>
          <w:p w:rsidR="00B052A1" w:rsidRPr="0022162D" w:rsidRDefault="00B052A1" w:rsidP="0027710C">
            <w:pPr>
              <w:spacing w:before="60" w:after="60" w:line="288" w:lineRule="auto"/>
              <w:ind w:left="0" w:firstLine="0"/>
              <w:rPr>
                <w:rFonts w:ascii="Arial" w:hAnsi="Arial" w:cs="Arial"/>
                <w:szCs w:val="24"/>
              </w:rPr>
            </w:pPr>
          </w:p>
        </w:tc>
      </w:tr>
    </w:tbl>
    <w:p w:rsidR="00D101BF" w:rsidRPr="00D101BF" w:rsidRDefault="00D101BF" w:rsidP="00D101BF">
      <w:pPr>
        <w:pStyle w:val="ListParagraph"/>
        <w:spacing w:before="60" w:after="60" w:line="288" w:lineRule="auto"/>
        <w:ind w:left="170" w:firstLine="0"/>
        <w:rPr>
          <w:szCs w:val="24"/>
        </w:rPr>
      </w:pPr>
    </w:p>
    <w:p w:rsidR="00A308D5" w:rsidRPr="00A308D5" w:rsidRDefault="00A308D5" w:rsidP="00024ED4">
      <w:pPr>
        <w:pStyle w:val="ListParagraph"/>
        <w:numPr>
          <w:ilvl w:val="0"/>
          <w:numId w:val="2"/>
        </w:numPr>
        <w:spacing w:before="60" w:after="60" w:line="288" w:lineRule="auto"/>
        <w:rPr>
          <w:szCs w:val="24"/>
        </w:rPr>
      </w:pPr>
      <w:r>
        <w:rPr>
          <w:rFonts w:eastAsia="Times New Roman"/>
          <w:b/>
          <w:sz w:val="24"/>
          <w:szCs w:val="24"/>
        </w:rPr>
        <w:t>Impact on Carbon reduction</w:t>
      </w:r>
    </w:p>
    <w:p w:rsidR="00D101BF" w:rsidRDefault="00A308D5" w:rsidP="00A308D5">
      <w:pPr>
        <w:pStyle w:val="ListParagraph"/>
        <w:spacing w:before="60" w:after="60" w:line="288" w:lineRule="auto"/>
        <w:ind w:left="170" w:firstLine="0"/>
        <w:rPr>
          <w:szCs w:val="24"/>
        </w:rPr>
      </w:pPr>
      <w:r w:rsidRPr="00A308D5">
        <w:rPr>
          <w:noProof/>
          <w:szCs w:val="24"/>
          <w:lang w:eastAsia="en-GB"/>
        </w:rPr>
        <mc:AlternateContent>
          <mc:Choice Requires="wps">
            <w:drawing>
              <wp:anchor distT="0" distB="0" distL="114300" distR="114300" simplePos="0" relativeHeight="251661312" behindDoc="0" locked="0" layoutInCell="1" allowOverlap="1" wp14:anchorId="1B435755" wp14:editId="017A2549">
                <wp:simplePos x="0" y="0"/>
                <wp:positionH relativeFrom="column">
                  <wp:posOffset>97155</wp:posOffset>
                </wp:positionH>
                <wp:positionV relativeFrom="paragraph">
                  <wp:posOffset>-3075305</wp:posOffset>
                </wp:positionV>
                <wp:extent cx="3574954" cy="276999"/>
                <wp:effectExtent l="0" t="0" r="0" b="0"/>
                <wp:wrapNone/>
                <wp:docPr id="9" name="TextBox 8">
                  <a:extLst xmlns:a="http://schemas.openxmlformats.org/drawingml/2006/main">
                    <a:ext uri="{FF2B5EF4-FFF2-40B4-BE49-F238E27FC236}">
                      <a16:creationId xmlns:a16="http://schemas.microsoft.com/office/drawing/2014/main" id="{7ED15FC8-A6BE-4C3D-A31E-DF7AB634F308}"/>
                    </a:ext>
                  </a:extLst>
                </wp:docPr>
                <wp:cNvGraphicFramePr/>
                <a:graphic xmlns:a="http://schemas.openxmlformats.org/drawingml/2006/main">
                  <a:graphicData uri="http://schemas.microsoft.com/office/word/2010/wordprocessingShape">
                    <wps:wsp>
                      <wps:cNvSpPr txBox="1"/>
                      <wps:spPr>
                        <a:xfrm>
                          <a:off x="0" y="0"/>
                          <a:ext cx="3574954" cy="276999"/>
                        </a:xfrm>
                        <a:prstGeom prst="rect">
                          <a:avLst/>
                        </a:prstGeom>
                        <a:noFill/>
                      </wps:spPr>
                      <wps:txbx>
                        <w:txbxContent>
                          <w:p w:rsidR="00A308D5" w:rsidRDefault="00A308D5" w:rsidP="00A308D5">
                            <w:pPr>
                              <w:pStyle w:val="NormalWeb"/>
                              <w:spacing w:before="0" w:after="0"/>
                              <w:rPr>
                                <w:szCs w:val="24"/>
                              </w:rPr>
                            </w:pPr>
                            <w:r>
                              <w:rPr>
                                <w:rFonts w:asciiTheme="minorHAnsi" w:hAnsi="Calibri" w:cstheme="minorBidi"/>
                                <w:i/>
                                <w:iCs/>
                                <w:color w:val="000000" w:themeColor="text1"/>
                                <w:kern w:val="24"/>
                              </w:rPr>
                              <w:t>WLWA 2021 Waste Composition Analysis</w:t>
                            </w:r>
                          </w:p>
                        </w:txbxContent>
                      </wps:txbx>
                      <wps:bodyPr wrap="square" rtlCol="0">
                        <a:spAutoFit/>
                      </wps:bodyPr>
                    </wps:wsp>
                  </a:graphicData>
                </a:graphic>
              </wp:anchor>
            </w:drawing>
          </mc:Choice>
          <mc:Fallback>
            <w:pict>
              <v:shapetype w14:anchorId="1B435755" id="_x0000_t202" coordsize="21600,21600" o:spt="202" path="m,l,21600r21600,l21600,xe">
                <v:stroke joinstyle="miter"/>
                <v:path gradientshapeok="t" o:connecttype="rect"/>
              </v:shapetype>
              <v:shape id="TextBox 8" o:spid="_x0000_s1026" type="#_x0000_t202" style="position:absolute;left:0;text-align:left;margin-left:7.65pt;margin-top:-242.15pt;width:281.5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" filled="f" stroked="f">
                <v:textbox style="mso-fit-shape-to-text:t">
                  <w:txbxContent>
                    <w:p w:rsidR="00A308D5" w:rsidRDefault="00A308D5" w:rsidP="00A308D5">
                      <w:pPr>
                        <w:pStyle w:val="NormalWeb"/>
                        <w:spacing w:before="0" w:after="0"/>
                        <w:rPr>
                          <w:szCs w:val="24"/>
                        </w:rPr>
                      </w:pPr>
                      <w:r>
                        <w:rPr>
                          <w:rFonts w:asciiTheme="minorHAnsi" w:hAnsi="Calibri" w:cstheme="minorBidi"/>
                          <w:i/>
                          <w:iCs/>
                          <w:color w:val="000000" w:themeColor="text1"/>
                          <w:kern w:val="24"/>
                        </w:rPr>
                        <w:t>WLWA 2021 Waste Composition Analysis</w:t>
                      </w:r>
                    </w:p>
                  </w:txbxContent>
                </v:textbox>
              </v:shape>
            </w:pict>
          </mc:Fallback>
        </mc:AlternateContent>
      </w:r>
      <w:r>
        <w:rPr>
          <w:szCs w:val="24"/>
        </w:rPr>
        <w:t>Using the waste composition analysis carried out every 15 months we can measure the CO2eq associate with consumption for waste being burned for energy.  Our objective is to reduce this and send the resources to better alternative uses where possible.</w:t>
      </w:r>
      <w:r w:rsidRPr="00A308D5">
        <w:rPr>
          <w:szCs w:val="24"/>
        </w:rPr>
        <w:t xml:space="preserve"> </w:t>
      </w:r>
      <w:r w:rsidR="00D101BF">
        <w:rPr>
          <w:szCs w:val="24"/>
        </w:rPr>
        <w:t xml:space="preserve"> The two charts are not of a similar scale and the first ever created chart in 2021 had an incorrect formula for 2021.  Adjusting for these, we can see that the total carbon emissions associated with consumption reduced in 2022, largely due to less waste and the reduction in total food waste.  Reporting will improve for next year and we will consider how the visualisation can be used to support project reports.</w:t>
      </w:r>
    </w:p>
    <w:p w:rsidR="00A308D5" w:rsidRDefault="00D101BF" w:rsidP="00A308D5">
      <w:pPr>
        <w:pStyle w:val="ListParagraph"/>
        <w:spacing w:before="60" w:after="60" w:line="288" w:lineRule="auto"/>
        <w:ind w:left="170" w:firstLine="0"/>
        <w:rPr>
          <w:szCs w:val="24"/>
        </w:rPr>
      </w:pPr>
      <w:r>
        <w:rPr>
          <w:szCs w:val="24"/>
        </w:rPr>
        <w:t xml:space="preserve">  </w:t>
      </w:r>
    </w:p>
    <w:p w:rsidR="00A308D5" w:rsidRDefault="00A308D5" w:rsidP="00A308D5">
      <w:pPr>
        <w:pStyle w:val="ListParagraph"/>
        <w:spacing w:before="60" w:after="60" w:line="288" w:lineRule="auto"/>
        <w:ind w:left="170" w:firstLine="0"/>
        <w:rPr>
          <w:szCs w:val="24"/>
        </w:rPr>
      </w:pPr>
      <w:r>
        <w:rPr>
          <w:szCs w:val="24"/>
        </w:rPr>
        <w:t>WLWA 2021 Waste Composition Analysis                                  WLWA 2022 Waste Composition Analysis</w:t>
      </w:r>
    </w:p>
    <w:p w:rsidR="00A84F1C" w:rsidRDefault="00D101BF" w:rsidP="00A308D5">
      <w:pPr>
        <w:pStyle w:val="ListParagraph"/>
        <w:spacing w:before="60" w:after="60" w:line="288" w:lineRule="auto"/>
        <w:ind w:left="170" w:firstLine="0"/>
        <w:rPr>
          <w:szCs w:val="24"/>
        </w:rPr>
      </w:pPr>
      <w:r>
        <w:rPr>
          <w:szCs w:val="24"/>
        </w:rPr>
        <w:t>(</w:t>
      </w:r>
      <w:proofErr w:type="gramStart"/>
      <w:r>
        <w:rPr>
          <w:szCs w:val="24"/>
        </w:rPr>
        <w:t>e-waste</w:t>
      </w:r>
      <w:proofErr w:type="gramEnd"/>
      <w:r>
        <w:rPr>
          <w:szCs w:val="24"/>
        </w:rPr>
        <w:t xml:space="preserve"> had an incorrect formula in 2021)                               (</w:t>
      </w:r>
      <w:proofErr w:type="gramStart"/>
      <w:r>
        <w:rPr>
          <w:szCs w:val="24"/>
        </w:rPr>
        <w:t>e-waste</w:t>
      </w:r>
      <w:proofErr w:type="gramEnd"/>
      <w:r>
        <w:rPr>
          <w:szCs w:val="24"/>
        </w:rPr>
        <w:t xml:space="preserve"> formula corrected for 2022)</w:t>
      </w:r>
    </w:p>
    <w:p w:rsidR="0002515E" w:rsidRPr="0002515E" w:rsidRDefault="0002515E" w:rsidP="00A308D5">
      <w:pPr>
        <w:pStyle w:val="ListParagraph"/>
        <w:spacing w:before="60" w:after="60" w:line="288" w:lineRule="auto"/>
        <w:ind w:left="170" w:firstLine="0"/>
        <w:rPr>
          <w:sz w:val="18"/>
          <w:szCs w:val="18"/>
        </w:rPr>
      </w:pPr>
      <w:r w:rsidRPr="0002515E">
        <w:rPr>
          <w:sz w:val="18"/>
          <w:szCs w:val="18"/>
        </w:rPr>
        <w:t xml:space="preserve">Tonnes                                     </w:t>
      </w:r>
      <w:r>
        <w:rPr>
          <w:sz w:val="18"/>
          <w:szCs w:val="18"/>
        </w:rPr>
        <w:t xml:space="preserve">               </w:t>
      </w:r>
      <w:r w:rsidRPr="0002515E">
        <w:rPr>
          <w:sz w:val="18"/>
          <w:szCs w:val="18"/>
        </w:rPr>
        <w:t xml:space="preserve">               CO2eq       </w:t>
      </w:r>
      <w:r>
        <w:rPr>
          <w:sz w:val="18"/>
          <w:szCs w:val="18"/>
        </w:rPr>
        <w:t xml:space="preserve">    </w:t>
      </w:r>
      <w:r w:rsidRPr="0002515E">
        <w:rPr>
          <w:sz w:val="18"/>
          <w:szCs w:val="18"/>
        </w:rPr>
        <w:t xml:space="preserve">       Tonnes                                                </w:t>
      </w:r>
      <w:r>
        <w:rPr>
          <w:sz w:val="18"/>
          <w:szCs w:val="18"/>
        </w:rPr>
        <w:t xml:space="preserve">                 </w:t>
      </w:r>
      <w:r w:rsidRPr="0002515E">
        <w:rPr>
          <w:sz w:val="18"/>
          <w:szCs w:val="18"/>
        </w:rPr>
        <w:t xml:space="preserve">            CO2eq</w:t>
      </w:r>
    </w:p>
    <w:p w:rsidR="00A308D5" w:rsidRPr="00A308D5" w:rsidRDefault="00D101BF" w:rsidP="00A308D5">
      <w:pPr>
        <w:pStyle w:val="ListParagraph"/>
        <w:spacing w:before="60" w:after="60" w:line="288" w:lineRule="auto"/>
        <w:ind w:left="170" w:firstLine="0"/>
        <w:rPr>
          <w:szCs w:val="24"/>
        </w:rPr>
      </w:pPr>
      <w:r w:rsidRPr="00A308D5">
        <w:rPr>
          <w:noProof/>
          <w:szCs w:val="24"/>
          <w:lang w:eastAsia="en-GB"/>
        </w:rPr>
        <w:drawing>
          <wp:anchor distT="0" distB="0" distL="114300" distR="114300" simplePos="0" relativeHeight="251662336" behindDoc="0" locked="0" layoutInCell="1" allowOverlap="1">
            <wp:simplePos x="0" y="0"/>
            <wp:positionH relativeFrom="column">
              <wp:posOffset>3555365</wp:posOffset>
            </wp:positionH>
            <wp:positionV relativeFrom="paragraph">
              <wp:posOffset>212090</wp:posOffset>
            </wp:positionV>
            <wp:extent cx="3133725" cy="3895725"/>
            <wp:effectExtent l="0" t="0" r="9525" b="9525"/>
            <wp:wrapSquare wrapText="bothSides"/>
            <wp:docPr id="1" name="Picture 2">
              <a:extLst xmlns:a="http://schemas.openxmlformats.org/drawingml/2006/main">
                <a:ext uri="{FF2B5EF4-FFF2-40B4-BE49-F238E27FC236}">
                  <a16:creationId xmlns:a16="http://schemas.microsoft.com/office/drawing/2014/main" id="{12B36138-0AAE-62F6-3967-AC9CF258F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2B36138-0AAE-62F6-3967-AC9CF258FD9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33725" cy="3895725"/>
                    </a:xfrm>
                    <a:prstGeom prst="rect">
                      <a:avLst/>
                    </a:prstGeom>
                  </pic:spPr>
                </pic:pic>
              </a:graphicData>
            </a:graphic>
            <wp14:sizeRelH relativeFrom="margin">
              <wp14:pctWidth>0</wp14:pctWidth>
            </wp14:sizeRelH>
            <wp14:sizeRelV relativeFrom="margin">
              <wp14:pctHeight>0</wp14:pctHeight>
            </wp14:sizeRelV>
          </wp:anchor>
        </w:drawing>
      </w:r>
      <w:r w:rsidR="00A308D5" w:rsidRPr="00A308D5">
        <w:rPr>
          <w:noProof/>
          <w:szCs w:val="24"/>
          <w:lang w:eastAsia="en-GB"/>
        </w:rPr>
        <w:drawing>
          <wp:inline distT="0" distB="0" distL="0" distR="0">
            <wp:extent cx="2895600" cy="4255121"/>
            <wp:effectExtent l="0" t="0" r="0" b="0"/>
            <wp:docPr id="6" name="Picture 5">
              <a:extLst xmlns:a="http://schemas.openxmlformats.org/drawingml/2006/main">
                <a:ext uri="{FF2B5EF4-FFF2-40B4-BE49-F238E27FC236}">
                  <a16:creationId xmlns:a16="http://schemas.microsoft.com/office/drawing/2014/main" id="{EAB7F534-BE4A-456F-9DD3-162A82B1D1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AB7F534-BE4A-456F-9DD3-162A82B1D1A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5600" cy="4255121"/>
                    </a:xfrm>
                    <a:prstGeom prst="rect">
                      <a:avLst/>
                    </a:prstGeom>
                  </pic:spPr>
                </pic:pic>
              </a:graphicData>
            </a:graphic>
          </wp:inline>
        </w:drawing>
      </w:r>
    </w:p>
    <w:p w:rsidR="00A308D5" w:rsidRDefault="00A308D5" w:rsidP="00A308D5">
      <w:pPr>
        <w:pStyle w:val="ListParagraph"/>
        <w:numPr>
          <w:ilvl w:val="0"/>
          <w:numId w:val="2"/>
        </w:numPr>
        <w:spacing w:before="60" w:after="60" w:line="288" w:lineRule="auto"/>
        <w:rPr>
          <w:b/>
          <w:sz w:val="24"/>
          <w:szCs w:val="24"/>
        </w:rPr>
      </w:pPr>
      <w:r w:rsidRPr="00BA32A8">
        <w:rPr>
          <w:b/>
          <w:sz w:val="24"/>
          <w:szCs w:val="24"/>
        </w:rPr>
        <w:t>Impact on Environment Directors Priorities</w:t>
      </w:r>
    </w:p>
    <w:p w:rsidR="00D101BF" w:rsidRPr="00BA32A8" w:rsidRDefault="00A308D5" w:rsidP="00A308D5">
      <w:pPr>
        <w:pStyle w:val="ListParagraph"/>
        <w:spacing w:before="60" w:after="60" w:line="288" w:lineRule="auto"/>
        <w:ind w:left="170" w:firstLine="0"/>
        <w:rPr>
          <w:sz w:val="24"/>
          <w:szCs w:val="24"/>
        </w:rPr>
      </w:pPr>
      <w:r w:rsidRPr="00BA32A8">
        <w:rPr>
          <w:sz w:val="24"/>
          <w:szCs w:val="24"/>
        </w:rPr>
        <w:t>The Environment Directors priorities were created in September 2022, the business plan delivers on each of the four pillars</w:t>
      </w:r>
      <w:r>
        <w:rPr>
          <w:sz w:val="24"/>
          <w:szCs w:val="24"/>
        </w:rPr>
        <w:t>, prioritising dealing with the financial challenges whilst delivering on climate change.</w:t>
      </w:r>
    </w:p>
    <w:p w:rsidR="00D101BF" w:rsidRPr="00D101BF" w:rsidRDefault="00A308D5" w:rsidP="00D101BF">
      <w:pPr>
        <w:pStyle w:val="ListParagraph"/>
        <w:spacing w:before="60" w:after="60" w:line="288" w:lineRule="auto"/>
        <w:ind w:left="170" w:firstLine="0"/>
        <w:rPr>
          <w:szCs w:val="24"/>
        </w:rPr>
      </w:pPr>
      <w:r>
        <w:rPr>
          <w:noProof/>
          <w:sz w:val="24"/>
          <w:lang w:eastAsia="en-GB"/>
        </w:rPr>
        <w:lastRenderedPageBreak/>
        <w:drawing>
          <wp:inline distT="0" distB="0" distL="0" distR="0" wp14:anchorId="4297985A" wp14:editId="4CBC9487">
            <wp:extent cx="6479540" cy="21523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152314"/>
                    </a:xfrm>
                    <a:prstGeom prst="rect">
                      <a:avLst/>
                    </a:prstGeom>
                    <a:noFill/>
                  </pic:spPr>
                </pic:pic>
              </a:graphicData>
            </a:graphic>
          </wp:inline>
        </w:drawing>
      </w:r>
    </w:p>
    <w:p w:rsidR="006140E9" w:rsidRDefault="001342E2" w:rsidP="00A308D5">
      <w:pPr>
        <w:pStyle w:val="ListParagraph"/>
        <w:numPr>
          <w:ilvl w:val="0"/>
          <w:numId w:val="2"/>
        </w:numPr>
        <w:spacing w:before="60" w:after="60" w:line="288" w:lineRule="auto"/>
        <w:rPr>
          <w:szCs w:val="24"/>
        </w:rPr>
      </w:pPr>
      <w:r w:rsidRPr="00A57026">
        <w:rPr>
          <w:rFonts w:eastAsia="Times New Roman"/>
          <w:b/>
          <w:sz w:val="24"/>
          <w:szCs w:val="24"/>
        </w:rPr>
        <w:t>Impact on Joint Municipal Waste Management Strategy</w:t>
      </w:r>
      <w:r w:rsidRPr="00A57026">
        <w:rPr>
          <w:b/>
          <w:szCs w:val="24"/>
        </w:rPr>
        <w:t xml:space="preserve"> </w:t>
      </w:r>
      <w:r w:rsidRPr="00A57026">
        <w:rPr>
          <w:szCs w:val="24"/>
        </w:rPr>
        <w:t xml:space="preserve">– </w:t>
      </w:r>
    </w:p>
    <w:p w:rsidR="00014268" w:rsidRDefault="006140E9" w:rsidP="00014268">
      <w:pPr>
        <w:spacing w:before="60" w:after="60" w:line="288" w:lineRule="auto"/>
        <w:ind w:left="170" w:firstLine="0"/>
        <w:rPr>
          <w:szCs w:val="24"/>
        </w:rPr>
      </w:pPr>
      <w:r w:rsidRPr="00014268">
        <w:rPr>
          <w:rFonts w:ascii="Arial" w:hAnsi="Arial" w:cs="Arial"/>
          <w:szCs w:val="24"/>
        </w:rPr>
        <w:t>The framework agreed in March 2021</w:t>
      </w:r>
      <w:r w:rsidR="00014268" w:rsidRPr="00014268">
        <w:rPr>
          <w:rFonts w:ascii="Arial" w:hAnsi="Arial" w:cs="Arial"/>
          <w:szCs w:val="24"/>
        </w:rPr>
        <w:t xml:space="preserve"> is crucial to maintaining focus during this time of uncertain legislation.  Progress against the framework</w:t>
      </w:r>
      <w:r w:rsidR="00014268" w:rsidRPr="00A94E9A">
        <w:rPr>
          <w:rFonts w:ascii="Arial" w:hAnsi="Arial" w:cs="Arial"/>
          <w:szCs w:val="24"/>
        </w:rPr>
        <w:t xml:space="preserve"> demonstrates:</w:t>
      </w:r>
    </w:p>
    <w:p w:rsidR="001342E2" w:rsidRPr="006140E9" w:rsidRDefault="00B052A1" w:rsidP="00B052A1">
      <w:pPr>
        <w:pStyle w:val="ListParagraph"/>
        <w:spacing w:before="60" w:after="60" w:line="288" w:lineRule="auto"/>
        <w:ind w:left="170" w:firstLine="0"/>
        <w:jc w:val="left"/>
        <w:rPr>
          <w:szCs w:val="24"/>
        </w:rPr>
      </w:pPr>
      <w:r w:rsidRPr="006140E9">
        <w:rPr>
          <w:noProof/>
          <w:szCs w:val="24"/>
          <w:lang w:eastAsia="en-GB"/>
        </w:rPr>
        <w:drawing>
          <wp:anchor distT="0" distB="0" distL="114300" distR="114300" simplePos="0" relativeHeight="251658240" behindDoc="0" locked="0" layoutInCell="1" allowOverlap="1">
            <wp:simplePos x="0" y="0"/>
            <wp:positionH relativeFrom="column">
              <wp:posOffset>107315</wp:posOffset>
            </wp:positionH>
            <wp:positionV relativeFrom="paragraph">
              <wp:posOffset>207010</wp:posOffset>
            </wp:positionV>
            <wp:extent cx="3912235" cy="234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2235" cy="2343150"/>
                    </a:xfrm>
                    <a:prstGeom prst="rect">
                      <a:avLst/>
                    </a:prstGeom>
                    <a:noFill/>
                  </pic:spPr>
                </pic:pic>
              </a:graphicData>
            </a:graphic>
            <wp14:sizeRelH relativeFrom="margin">
              <wp14:pctWidth>0</wp14:pctWidth>
            </wp14:sizeRelH>
            <wp14:sizeRelV relativeFrom="margin">
              <wp14:pctHeight>0</wp14:pctHeight>
            </wp14:sizeRelV>
          </wp:anchor>
        </w:drawing>
      </w:r>
    </w:p>
    <w:p w:rsidR="00A07F69" w:rsidRPr="00A8050E" w:rsidRDefault="00A07F69" w:rsidP="00A07F69">
      <w:pPr>
        <w:pStyle w:val="ListParagraph"/>
        <w:numPr>
          <w:ilvl w:val="0"/>
          <w:numId w:val="12"/>
        </w:numPr>
        <w:spacing w:before="60" w:after="60" w:line="288" w:lineRule="auto"/>
        <w:rPr>
          <w:sz w:val="24"/>
          <w:szCs w:val="24"/>
        </w:rPr>
      </w:pPr>
      <w:r w:rsidRPr="00A8050E">
        <w:rPr>
          <w:sz w:val="24"/>
          <w:szCs w:val="24"/>
        </w:rPr>
        <w:t xml:space="preserve">18,000 tonnes </w:t>
      </w:r>
      <w:r w:rsidR="00B052A1">
        <w:rPr>
          <w:sz w:val="24"/>
          <w:szCs w:val="24"/>
        </w:rPr>
        <w:t>less waste</w:t>
      </w:r>
      <w:r w:rsidRPr="00A8050E">
        <w:rPr>
          <w:sz w:val="24"/>
          <w:szCs w:val="24"/>
        </w:rPr>
        <w:t xml:space="preserve"> than pre-pandemic levels.</w:t>
      </w:r>
    </w:p>
    <w:p w:rsidR="00B052A1" w:rsidRPr="00B052A1" w:rsidRDefault="00B052A1" w:rsidP="00A07F69">
      <w:pPr>
        <w:pStyle w:val="ListParagraph"/>
        <w:numPr>
          <w:ilvl w:val="0"/>
          <w:numId w:val="12"/>
        </w:numPr>
        <w:spacing w:before="60" w:after="60" w:line="288" w:lineRule="auto"/>
        <w:rPr>
          <w:b/>
          <w:sz w:val="24"/>
          <w:szCs w:val="24"/>
        </w:rPr>
      </w:pPr>
      <w:r>
        <w:rPr>
          <w:sz w:val="24"/>
          <w:szCs w:val="24"/>
        </w:rPr>
        <w:t>A</w:t>
      </w:r>
      <w:r w:rsidR="00A07F69" w:rsidRPr="00A8050E">
        <w:rPr>
          <w:sz w:val="24"/>
          <w:szCs w:val="24"/>
        </w:rPr>
        <w:t xml:space="preserve"> reduction in total food waste and increased participation in food waste recycling from 21% to 24%</w:t>
      </w:r>
      <w:r>
        <w:rPr>
          <w:sz w:val="24"/>
          <w:szCs w:val="24"/>
        </w:rPr>
        <w:t>.</w:t>
      </w:r>
    </w:p>
    <w:p w:rsidR="00B052A1" w:rsidRPr="00B052A1" w:rsidRDefault="00B052A1" w:rsidP="00A07F69">
      <w:pPr>
        <w:pStyle w:val="ListParagraph"/>
        <w:numPr>
          <w:ilvl w:val="0"/>
          <w:numId w:val="12"/>
        </w:numPr>
        <w:spacing w:before="60" w:after="60" w:line="288" w:lineRule="auto"/>
        <w:rPr>
          <w:b/>
          <w:sz w:val="24"/>
          <w:szCs w:val="24"/>
        </w:rPr>
      </w:pPr>
      <w:r>
        <w:rPr>
          <w:sz w:val="24"/>
          <w:szCs w:val="24"/>
        </w:rPr>
        <w:t>Kerbside colle</w:t>
      </w:r>
      <w:r w:rsidR="00014268">
        <w:rPr>
          <w:sz w:val="24"/>
          <w:szCs w:val="24"/>
        </w:rPr>
        <w:t>cted textiles increased by 13%</w:t>
      </w:r>
      <w:r>
        <w:rPr>
          <w:sz w:val="24"/>
          <w:szCs w:val="24"/>
        </w:rPr>
        <w:t xml:space="preserve">.  </w:t>
      </w:r>
    </w:p>
    <w:p w:rsidR="00B052A1" w:rsidRPr="00B052A1" w:rsidRDefault="00A07F69" w:rsidP="00A07F69">
      <w:pPr>
        <w:pStyle w:val="ListParagraph"/>
        <w:numPr>
          <w:ilvl w:val="0"/>
          <w:numId w:val="12"/>
        </w:numPr>
        <w:spacing w:before="60" w:after="60" w:line="288" w:lineRule="auto"/>
        <w:rPr>
          <w:b/>
          <w:sz w:val="24"/>
          <w:szCs w:val="24"/>
        </w:rPr>
      </w:pPr>
      <w:r w:rsidRPr="00A8050E">
        <w:rPr>
          <w:sz w:val="24"/>
          <w:szCs w:val="24"/>
        </w:rPr>
        <w:t xml:space="preserve">Increased reuse of furniture, bicycles, laptops, smart phones and hospital equipment at Abbey Road recycling centre.  </w:t>
      </w:r>
    </w:p>
    <w:p w:rsidR="00BA32A8" w:rsidRPr="00BA32A8" w:rsidRDefault="00BA32A8" w:rsidP="00BA32A8">
      <w:pPr>
        <w:pStyle w:val="ListParagraph"/>
        <w:spacing w:before="60" w:after="60" w:line="288" w:lineRule="auto"/>
        <w:ind w:left="170" w:firstLine="0"/>
        <w:rPr>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672"/>
        <w:gridCol w:w="4111"/>
        <w:gridCol w:w="1984"/>
      </w:tblGrid>
      <w:tr w:rsidR="001342E2" w:rsidRPr="008F3344" w:rsidTr="00BA32A8">
        <w:tc>
          <w:tcPr>
            <w:tcW w:w="2581" w:type="dxa"/>
          </w:tcPr>
          <w:p w:rsidR="001342E2" w:rsidRPr="008F3344" w:rsidRDefault="001342E2" w:rsidP="00AC759A">
            <w:pPr>
              <w:spacing w:before="60" w:after="60" w:line="288" w:lineRule="auto"/>
              <w:ind w:left="0" w:right="113" w:firstLine="0"/>
              <w:jc w:val="left"/>
              <w:rPr>
                <w:rFonts w:ascii="Arial" w:hAnsi="Arial" w:cs="Arial"/>
                <w:szCs w:val="24"/>
              </w:rPr>
            </w:pPr>
            <w:r w:rsidRPr="008F3344">
              <w:rPr>
                <w:rFonts w:ascii="Arial" w:hAnsi="Arial" w:cs="Arial"/>
                <w:szCs w:val="24"/>
              </w:rPr>
              <w:t>Background Papers</w:t>
            </w:r>
          </w:p>
        </w:tc>
        <w:tc>
          <w:tcPr>
            <w:tcW w:w="7767" w:type="dxa"/>
            <w:gridSpan w:val="3"/>
            <w:vAlign w:val="center"/>
          </w:tcPr>
          <w:p w:rsidR="001342E2" w:rsidRPr="008F3344" w:rsidRDefault="001342E2" w:rsidP="00AC759A">
            <w:pPr>
              <w:spacing w:before="60" w:after="60" w:line="288" w:lineRule="auto"/>
              <w:ind w:left="0" w:right="113" w:firstLine="0"/>
              <w:jc w:val="left"/>
              <w:rPr>
                <w:rFonts w:ascii="Arial" w:hAnsi="Arial" w:cs="Arial"/>
                <w:szCs w:val="24"/>
              </w:rPr>
            </w:pPr>
          </w:p>
        </w:tc>
      </w:tr>
      <w:tr w:rsidR="001342E2" w:rsidRPr="00063B07" w:rsidTr="00BA32A8">
        <w:tc>
          <w:tcPr>
            <w:tcW w:w="2581" w:type="dxa"/>
            <w:tcBorders>
              <w:top w:val="nil"/>
              <w:bottom w:val="nil"/>
              <w:right w:val="single" w:sz="4" w:space="0" w:color="auto"/>
            </w:tcBorders>
          </w:tcPr>
          <w:p w:rsidR="001342E2" w:rsidRPr="00063B07" w:rsidRDefault="001342E2" w:rsidP="00AC759A">
            <w:pPr>
              <w:spacing w:before="60" w:after="60" w:line="288" w:lineRule="auto"/>
              <w:ind w:left="0" w:right="113" w:firstLine="0"/>
              <w:jc w:val="left"/>
              <w:rPr>
                <w:rFonts w:ascii="Arial" w:hAnsi="Arial" w:cs="Arial"/>
                <w:szCs w:val="24"/>
              </w:rPr>
            </w:pPr>
          </w:p>
        </w:tc>
        <w:tc>
          <w:tcPr>
            <w:tcW w:w="1672" w:type="dxa"/>
            <w:tcBorders>
              <w:top w:val="nil"/>
              <w:left w:val="single" w:sz="4" w:space="0" w:color="auto"/>
              <w:bottom w:val="nil"/>
              <w:right w:val="nil"/>
            </w:tcBorders>
          </w:tcPr>
          <w:p w:rsidR="001342E2" w:rsidRPr="00063B07" w:rsidRDefault="001342E2" w:rsidP="00AC759A">
            <w:pPr>
              <w:spacing w:before="60" w:after="60" w:line="288" w:lineRule="auto"/>
              <w:ind w:left="0" w:right="113" w:firstLine="0"/>
              <w:jc w:val="left"/>
              <w:rPr>
                <w:rFonts w:ascii="Arial" w:hAnsi="Arial" w:cs="Arial"/>
                <w:szCs w:val="24"/>
              </w:rPr>
            </w:pPr>
            <w:r w:rsidRPr="006268AE">
              <w:rPr>
                <w:rFonts w:ascii="Arial" w:hAnsi="Arial" w:cs="Arial"/>
                <w:szCs w:val="24"/>
              </w:rPr>
              <w:t>Emma Beal</w:t>
            </w:r>
          </w:p>
        </w:tc>
        <w:tc>
          <w:tcPr>
            <w:tcW w:w="4111" w:type="dxa"/>
            <w:tcBorders>
              <w:top w:val="nil"/>
              <w:left w:val="nil"/>
              <w:bottom w:val="nil"/>
              <w:right w:val="nil"/>
            </w:tcBorders>
          </w:tcPr>
          <w:p w:rsidR="001342E2" w:rsidRPr="00063B07" w:rsidRDefault="001342E2" w:rsidP="00AC759A">
            <w:pPr>
              <w:spacing w:before="60" w:after="60" w:line="288" w:lineRule="auto"/>
              <w:ind w:left="0" w:right="113" w:firstLine="0"/>
              <w:jc w:val="left"/>
              <w:rPr>
                <w:rFonts w:ascii="Arial" w:hAnsi="Arial" w:cs="Arial"/>
                <w:szCs w:val="24"/>
              </w:rPr>
            </w:pPr>
            <w:r w:rsidRPr="00CD7A77">
              <w:rPr>
                <w:rFonts w:ascii="Arial" w:hAnsi="Arial" w:cs="Arial"/>
                <w:szCs w:val="24"/>
              </w:rPr>
              <w:t>Managing Director</w:t>
            </w:r>
            <w:r w:rsidRPr="00CD7A77">
              <w:rPr>
                <w:rFonts w:ascii="Arial" w:hAnsi="Arial" w:cs="Arial"/>
                <w:szCs w:val="24"/>
              </w:rPr>
              <w:tab/>
            </w:r>
          </w:p>
        </w:tc>
        <w:tc>
          <w:tcPr>
            <w:tcW w:w="1984" w:type="dxa"/>
            <w:tcBorders>
              <w:top w:val="nil"/>
              <w:left w:val="nil"/>
              <w:bottom w:val="nil"/>
            </w:tcBorders>
          </w:tcPr>
          <w:p w:rsidR="001342E2" w:rsidRPr="00063B07" w:rsidRDefault="001342E2" w:rsidP="00AC759A">
            <w:pPr>
              <w:spacing w:before="60" w:after="60" w:line="288" w:lineRule="auto"/>
              <w:ind w:left="0" w:right="113" w:firstLine="0"/>
              <w:jc w:val="left"/>
              <w:rPr>
                <w:rFonts w:ascii="Arial" w:hAnsi="Arial" w:cs="Arial"/>
                <w:szCs w:val="24"/>
              </w:rPr>
            </w:pPr>
            <w:r w:rsidRPr="009E0AF2">
              <w:rPr>
                <w:rFonts w:ascii="Arial" w:hAnsi="Arial" w:cs="Arial"/>
                <w:szCs w:val="24"/>
              </w:rPr>
              <w:t>0</w:t>
            </w:r>
            <w:r>
              <w:rPr>
                <w:rFonts w:ascii="Arial" w:hAnsi="Arial" w:cs="Arial"/>
                <w:szCs w:val="24"/>
              </w:rPr>
              <w:t>7766 147 978</w:t>
            </w:r>
          </w:p>
        </w:tc>
      </w:tr>
      <w:tr w:rsidR="001342E2" w:rsidRPr="00063B07" w:rsidTr="00BA32A8">
        <w:tc>
          <w:tcPr>
            <w:tcW w:w="2581" w:type="dxa"/>
            <w:tcBorders>
              <w:top w:val="nil"/>
              <w:bottom w:val="single" w:sz="4" w:space="0" w:color="auto"/>
              <w:right w:val="single" w:sz="4" w:space="0" w:color="auto"/>
            </w:tcBorders>
          </w:tcPr>
          <w:p w:rsidR="001342E2" w:rsidRPr="00063B07" w:rsidRDefault="001342E2" w:rsidP="00AC759A">
            <w:pPr>
              <w:spacing w:before="60" w:after="60" w:line="288" w:lineRule="auto"/>
              <w:ind w:left="0" w:right="113" w:firstLine="0"/>
              <w:jc w:val="left"/>
              <w:rPr>
                <w:rFonts w:ascii="Arial" w:hAnsi="Arial" w:cs="Arial"/>
                <w:szCs w:val="24"/>
              </w:rPr>
            </w:pPr>
          </w:p>
        </w:tc>
        <w:tc>
          <w:tcPr>
            <w:tcW w:w="1672" w:type="dxa"/>
            <w:tcBorders>
              <w:top w:val="nil"/>
              <w:left w:val="single" w:sz="4" w:space="0" w:color="auto"/>
              <w:bottom w:val="single" w:sz="4" w:space="0" w:color="auto"/>
              <w:right w:val="nil"/>
            </w:tcBorders>
          </w:tcPr>
          <w:p w:rsidR="001342E2" w:rsidRPr="00063B07" w:rsidRDefault="001342E2" w:rsidP="00AC759A">
            <w:pPr>
              <w:spacing w:before="60" w:after="60" w:line="288" w:lineRule="auto"/>
              <w:ind w:left="0" w:right="113" w:firstLine="0"/>
              <w:jc w:val="left"/>
              <w:rPr>
                <w:rFonts w:ascii="Arial" w:hAnsi="Arial" w:cs="Arial"/>
                <w:szCs w:val="24"/>
              </w:rPr>
            </w:pPr>
          </w:p>
        </w:tc>
        <w:tc>
          <w:tcPr>
            <w:tcW w:w="6095" w:type="dxa"/>
            <w:gridSpan w:val="2"/>
            <w:tcBorders>
              <w:top w:val="nil"/>
              <w:left w:val="nil"/>
              <w:bottom w:val="single" w:sz="4" w:space="0" w:color="auto"/>
            </w:tcBorders>
          </w:tcPr>
          <w:p w:rsidR="001342E2" w:rsidRPr="00063B07" w:rsidRDefault="001D523B" w:rsidP="00AC759A">
            <w:pPr>
              <w:spacing w:before="60" w:after="60" w:line="288" w:lineRule="auto"/>
              <w:ind w:left="0" w:right="113" w:firstLine="0"/>
              <w:jc w:val="left"/>
              <w:rPr>
                <w:rFonts w:ascii="Arial" w:hAnsi="Arial" w:cs="Arial"/>
                <w:szCs w:val="24"/>
              </w:rPr>
            </w:pPr>
            <w:hyperlink r:id="rId12" w:history="1">
              <w:r w:rsidR="001342E2" w:rsidRPr="003B29C9">
                <w:rPr>
                  <w:rStyle w:val="Hyperlink"/>
                  <w:rFonts w:ascii="Arial" w:hAnsi="Arial" w:cs="Arial"/>
                  <w:szCs w:val="24"/>
                </w:rPr>
                <w:t>emmabeal@westlondonwaste.gov.uk</w:t>
              </w:r>
            </w:hyperlink>
          </w:p>
        </w:tc>
      </w:tr>
    </w:tbl>
    <w:p w:rsidR="0034319B" w:rsidRPr="000E602A" w:rsidRDefault="0034319B" w:rsidP="000E602A">
      <w:pPr>
        <w:spacing w:before="60" w:after="60" w:line="288" w:lineRule="auto"/>
        <w:ind w:left="170" w:firstLine="0"/>
        <w:rPr>
          <w:rFonts w:ascii="Arial" w:hAnsi="Arial" w:cs="Arial"/>
          <w:b/>
          <w:szCs w:val="24"/>
        </w:rPr>
        <w:sectPr w:rsidR="0034319B" w:rsidRPr="000E602A" w:rsidSect="0034088F">
          <w:headerReference w:type="default" r:id="rId13"/>
          <w:pgSz w:w="11906" w:h="16838"/>
          <w:pgMar w:top="851" w:right="851" w:bottom="567" w:left="851" w:header="227" w:footer="782" w:gutter="0"/>
          <w:cols w:space="720"/>
          <w:docGrid w:linePitch="326"/>
        </w:sectPr>
      </w:pPr>
    </w:p>
    <w:p w:rsidR="00D64758" w:rsidRPr="008C0F81" w:rsidRDefault="00D64758" w:rsidP="001342E2">
      <w:pPr>
        <w:numPr>
          <w:ilvl w:val="0"/>
          <w:numId w:val="11"/>
        </w:numPr>
        <w:spacing w:before="60" w:after="60" w:line="288" w:lineRule="auto"/>
        <w:ind w:firstLine="0"/>
        <w:rPr>
          <w:rFonts w:ascii="Arial" w:hAnsi="Arial" w:cs="Arial"/>
          <w:b/>
          <w:szCs w:val="24"/>
        </w:rPr>
      </w:pPr>
      <w:r w:rsidRPr="008C0F81">
        <w:rPr>
          <w:rFonts w:ascii="Arial" w:hAnsi="Arial" w:cs="Arial"/>
          <w:b/>
          <w:szCs w:val="24"/>
        </w:rPr>
        <w:lastRenderedPageBreak/>
        <w:t>Business Plan 2022</w:t>
      </w:r>
      <w:r w:rsidR="0022542E">
        <w:rPr>
          <w:rFonts w:ascii="Arial" w:hAnsi="Arial" w:cs="Arial"/>
          <w:b/>
          <w:szCs w:val="24"/>
        </w:rPr>
        <w:t>/23</w:t>
      </w:r>
    </w:p>
    <w:p w:rsidR="0036276B" w:rsidRDefault="002F3655" w:rsidP="001342E2">
      <w:pPr>
        <w:numPr>
          <w:ilvl w:val="1"/>
          <w:numId w:val="11"/>
        </w:numPr>
        <w:spacing w:before="60" w:after="60" w:line="288" w:lineRule="auto"/>
        <w:rPr>
          <w:rFonts w:ascii="Arial" w:hAnsi="Arial" w:cs="Arial"/>
          <w:b/>
          <w:szCs w:val="24"/>
        </w:rPr>
      </w:pPr>
      <w:r>
        <w:rPr>
          <w:rFonts w:ascii="Arial" w:hAnsi="Arial" w:cs="Arial"/>
          <w:b/>
          <w:szCs w:val="24"/>
        </w:rPr>
        <w:t>Resilience and preparation</w:t>
      </w:r>
    </w:p>
    <w:p w:rsidR="0036276B" w:rsidRDefault="0036276B" w:rsidP="007B1686">
      <w:pPr>
        <w:spacing w:before="60" w:after="60" w:line="288" w:lineRule="auto"/>
        <w:ind w:left="879" w:firstLine="0"/>
        <w:rPr>
          <w:rFonts w:ascii="Arial" w:hAnsi="Arial" w:cs="Arial"/>
          <w:szCs w:val="24"/>
        </w:rPr>
      </w:pPr>
      <w:r w:rsidRPr="007B1686">
        <w:rPr>
          <w:rFonts w:ascii="Arial" w:hAnsi="Arial" w:cs="Arial"/>
          <w:szCs w:val="24"/>
        </w:rPr>
        <w:t>WLWA</w:t>
      </w:r>
      <w:r>
        <w:rPr>
          <w:rFonts w:ascii="Arial" w:hAnsi="Arial" w:cs="Arial"/>
          <w:szCs w:val="24"/>
        </w:rPr>
        <w:t xml:space="preserve"> must</w:t>
      </w:r>
      <w:r w:rsidRPr="007B1686">
        <w:rPr>
          <w:rFonts w:ascii="Arial" w:hAnsi="Arial" w:cs="Arial"/>
          <w:szCs w:val="24"/>
        </w:rPr>
        <w:t xml:space="preserve"> be prepared for significant change </w:t>
      </w:r>
      <w:r>
        <w:rPr>
          <w:rFonts w:ascii="Arial" w:hAnsi="Arial" w:cs="Arial"/>
          <w:szCs w:val="24"/>
        </w:rPr>
        <w:t>resulting from legislation and social and economic needs.  We must remain aligned with our supply chain and Boroughs as all organisations in</w:t>
      </w:r>
      <w:r w:rsidR="000E602A">
        <w:rPr>
          <w:rFonts w:ascii="Arial" w:hAnsi="Arial" w:cs="Arial"/>
          <w:szCs w:val="24"/>
        </w:rPr>
        <w:t xml:space="preserve"> the resources and </w:t>
      </w:r>
      <w:r>
        <w:rPr>
          <w:rFonts w:ascii="Arial" w:hAnsi="Arial" w:cs="Arial"/>
          <w:szCs w:val="24"/>
        </w:rPr>
        <w:t xml:space="preserve">waste </w:t>
      </w:r>
      <w:r w:rsidR="000E602A">
        <w:rPr>
          <w:rFonts w:ascii="Arial" w:hAnsi="Arial" w:cs="Arial"/>
          <w:szCs w:val="24"/>
        </w:rPr>
        <w:t>sector manage</w:t>
      </w:r>
      <w:r>
        <w:rPr>
          <w:rFonts w:ascii="Arial" w:hAnsi="Arial" w:cs="Arial"/>
          <w:szCs w:val="24"/>
        </w:rPr>
        <w:t xml:space="preserve"> significant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157"/>
        <w:gridCol w:w="9449"/>
        <w:gridCol w:w="864"/>
      </w:tblGrid>
      <w:tr w:rsidR="00512C1D" w:rsidRPr="00C577A9" w:rsidTr="009E257F">
        <w:tc>
          <w:tcPr>
            <w:tcW w:w="954" w:type="pct"/>
            <w:shd w:val="clear" w:color="auto" w:fill="auto"/>
          </w:tcPr>
          <w:p w:rsidR="00512C1D" w:rsidRPr="00C577A9" w:rsidRDefault="00512C1D" w:rsidP="00D25E70">
            <w:pPr>
              <w:spacing w:before="60" w:after="60" w:line="288" w:lineRule="auto"/>
              <w:ind w:left="0" w:firstLine="0"/>
              <w:rPr>
                <w:rFonts w:ascii="Arial" w:hAnsi="Arial" w:cs="Arial"/>
                <w:sz w:val="22"/>
                <w:szCs w:val="22"/>
              </w:rPr>
            </w:pPr>
            <w:r w:rsidRPr="00C577A9">
              <w:rPr>
                <w:rFonts w:ascii="Arial" w:hAnsi="Arial" w:cs="Arial"/>
                <w:sz w:val="22"/>
                <w:szCs w:val="22"/>
              </w:rPr>
              <w:t>Item</w:t>
            </w:r>
          </w:p>
        </w:tc>
        <w:tc>
          <w:tcPr>
            <w:tcW w:w="700" w:type="pct"/>
            <w:shd w:val="clear" w:color="auto" w:fill="auto"/>
          </w:tcPr>
          <w:p w:rsidR="00512C1D" w:rsidRPr="00C577A9" w:rsidRDefault="00512C1D" w:rsidP="00D25E70">
            <w:pPr>
              <w:spacing w:before="60" w:after="60" w:line="288" w:lineRule="auto"/>
              <w:ind w:left="0" w:firstLine="0"/>
              <w:rPr>
                <w:rFonts w:ascii="Arial" w:hAnsi="Arial" w:cs="Arial"/>
                <w:sz w:val="22"/>
                <w:szCs w:val="22"/>
              </w:rPr>
            </w:pPr>
            <w:r w:rsidRPr="00C577A9">
              <w:rPr>
                <w:rFonts w:ascii="Arial" w:hAnsi="Arial" w:cs="Arial"/>
                <w:sz w:val="22"/>
                <w:szCs w:val="22"/>
              </w:rPr>
              <w:t>Responsible Owner</w:t>
            </w:r>
          </w:p>
        </w:tc>
        <w:tc>
          <w:tcPr>
            <w:tcW w:w="3066" w:type="pct"/>
            <w:shd w:val="clear" w:color="auto" w:fill="auto"/>
          </w:tcPr>
          <w:p w:rsidR="00512C1D" w:rsidRPr="00C577A9" w:rsidRDefault="00512C1D" w:rsidP="00D25E70">
            <w:pPr>
              <w:spacing w:before="60" w:after="60" w:line="288" w:lineRule="auto"/>
              <w:ind w:left="0" w:firstLine="0"/>
              <w:rPr>
                <w:rFonts w:ascii="Arial" w:hAnsi="Arial" w:cs="Arial"/>
                <w:sz w:val="22"/>
                <w:szCs w:val="22"/>
              </w:rPr>
            </w:pPr>
            <w:r w:rsidRPr="00C577A9">
              <w:rPr>
                <w:rFonts w:ascii="Arial" w:hAnsi="Arial" w:cs="Arial"/>
                <w:sz w:val="22"/>
                <w:szCs w:val="22"/>
              </w:rPr>
              <w:t>Outcome</w:t>
            </w:r>
          </w:p>
        </w:tc>
        <w:tc>
          <w:tcPr>
            <w:tcW w:w="280" w:type="pct"/>
          </w:tcPr>
          <w:p w:rsidR="00512C1D" w:rsidRPr="00C577A9" w:rsidRDefault="00512C1D" w:rsidP="00D25E70">
            <w:pPr>
              <w:spacing w:before="60" w:after="60" w:line="288" w:lineRule="auto"/>
              <w:ind w:left="0" w:firstLine="0"/>
              <w:rPr>
                <w:rFonts w:ascii="Arial" w:hAnsi="Arial" w:cs="Arial"/>
                <w:sz w:val="22"/>
                <w:szCs w:val="22"/>
              </w:rPr>
            </w:pPr>
            <w:r>
              <w:rPr>
                <w:rFonts w:ascii="Arial" w:hAnsi="Arial" w:cs="Arial"/>
                <w:sz w:val="22"/>
                <w:szCs w:val="22"/>
              </w:rPr>
              <w:t>RAG</w:t>
            </w:r>
          </w:p>
        </w:tc>
      </w:tr>
      <w:tr w:rsidR="00512C1D" w:rsidRPr="00C577A9" w:rsidTr="009E257F">
        <w:tc>
          <w:tcPr>
            <w:tcW w:w="954" w:type="pct"/>
            <w:shd w:val="clear" w:color="auto" w:fill="auto"/>
          </w:tcPr>
          <w:p w:rsidR="00512C1D" w:rsidRPr="00C577A9" w:rsidRDefault="00512C1D" w:rsidP="001C3B61">
            <w:pPr>
              <w:spacing w:before="60" w:after="60" w:line="288" w:lineRule="auto"/>
              <w:ind w:left="0" w:firstLine="0"/>
              <w:jc w:val="left"/>
              <w:rPr>
                <w:rFonts w:ascii="Arial" w:hAnsi="Arial" w:cs="Arial"/>
                <w:sz w:val="22"/>
                <w:szCs w:val="22"/>
              </w:rPr>
            </w:pPr>
            <w:r w:rsidRPr="00C577A9">
              <w:rPr>
                <w:rFonts w:ascii="Arial" w:hAnsi="Arial" w:cs="Arial"/>
                <w:sz w:val="22"/>
                <w:szCs w:val="22"/>
              </w:rPr>
              <w:t>Training / development opportunities for core skills are prioritised.</w:t>
            </w:r>
          </w:p>
        </w:tc>
        <w:tc>
          <w:tcPr>
            <w:tcW w:w="700" w:type="pct"/>
            <w:shd w:val="clear" w:color="auto" w:fill="auto"/>
          </w:tcPr>
          <w:p w:rsidR="00512C1D" w:rsidRPr="00C577A9" w:rsidRDefault="00512C1D" w:rsidP="001C3B61">
            <w:pPr>
              <w:spacing w:before="60" w:after="60" w:line="288" w:lineRule="auto"/>
              <w:ind w:left="0" w:firstLine="0"/>
              <w:jc w:val="left"/>
              <w:rPr>
                <w:rFonts w:ascii="Arial" w:hAnsi="Arial" w:cs="Arial"/>
                <w:sz w:val="22"/>
                <w:szCs w:val="22"/>
              </w:rPr>
            </w:pPr>
            <w:r w:rsidRPr="00C577A9">
              <w:rPr>
                <w:rFonts w:ascii="Arial" w:hAnsi="Arial" w:cs="Arial"/>
                <w:sz w:val="22"/>
                <w:szCs w:val="22"/>
              </w:rPr>
              <w:t>Managing Director</w:t>
            </w:r>
          </w:p>
        </w:tc>
        <w:tc>
          <w:tcPr>
            <w:tcW w:w="3066" w:type="pct"/>
            <w:shd w:val="clear" w:color="auto" w:fill="auto"/>
          </w:tcPr>
          <w:p w:rsidR="00512C1D" w:rsidRPr="00C577A9" w:rsidRDefault="00512C1D"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Skills plan updated and delivered</w:t>
            </w:r>
            <w:r>
              <w:rPr>
                <w:rFonts w:ascii="Arial" w:hAnsi="Arial" w:cs="Arial"/>
                <w:sz w:val="22"/>
                <w:szCs w:val="22"/>
              </w:rPr>
              <w:t xml:space="preserve">.  </w:t>
            </w:r>
            <w:r w:rsidRPr="00C577A9">
              <w:rPr>
                <w:rFonts w:ascii="Arial" w:hAnsi="Arial" w:cs="Arial"/>
                <w:sz w:val="22"/>
                <w:szCs w:val="22"/>
              </w:rPr>
              <w:t>Insights</w:t>
            </w:r>
            <w:r w:rsidR="001C0D93">
              <w:rPr>
                <w:rFonts w:ascii="Arial" w:hAnsi="Arial" w:cs="Arial"/>
                <w:sz w:val="22"/>
                <w:szCs w:val="22"/>
              </w:rPr>
              <w:t xml:space="preserve"> and coaching</w:t>
            </w:r>
            <w:r w:rsidRPr="00C577A9">
              <w:rPr>
                <w:rFonts w:ascii="Arial" w:hAnsi="Arial" w:cs="Arial"/>
                <w:sz w:val="22"/>
                <w:szCs w:val="22"/>
              </w:rPr>
              <w:t xml:space="preserve"> training for all employees carried out and ongoing.</w:t>
            </w:r>
            <w:r>
              <w:rPr>
                <w:rFonts w:ascii="Arial" w:hAnsi="Arial" w:cs="Arial"/>
                <w:sz w:val="22"/>
                <w:szCs w:val="22"/>
              </w:rPr>
              <w:t xml:space="preserve">  </w:t>
            </w:r>
            <w:r w:rsidRPr="00C577A9">
              <w:rPr>
                <w:rFonts w:ascii="Arial" w:hAnsi="Arial" w:cs="Arial"/>
                <w:sz w:val="22"/>
                <w:szCs w:val="22"/>
              </w:rPr>
              <w:t>Lean Six Sigma white belt for most employees carried out.</w:t>
            </w:r>
            <w:r>
              <w:rPr>
                <w:rFonts w:ascii="Arial" w:hAnsi="Arial" w:cs="Arial"/>
                <w:sz w:val="22"/>
                <w:szCs w:val="22"/>
              </w:rPr>
              <w:t xml:space="preserve">  </w:t>
            </w:r>
            <w:r w:rsidRPr="00C577A9">
              <w:rPr>
                <w:rFonts w:ascii="Arial" w:hAnsi="Arial" w:cs="Arial"/>
                <w:sz w:val="22"/>
                <w:szCs w:val="22"/>
              </w:rPr>
              <w:t>Data driven decision making training for Managing Director and Finance Director. Power BI training for MI Team.</w:t>
            </w:r>
          </w:p>
        </w:tc>
        <w:tc>
          <w:tcPr>
            <w:tcW w:w="280" w:type="pct"/>
            <w:shd w:val="clear" w:color="auto" w:fill="A8D08D" w:themeFill="accent6" w:themeFillTint="99"/>
          </w:tcPr>
          <w:p w:rsidR="00512C1D" w:rsidRDefault="00512C1D" w:rsidP="001C3B61">
            <w:pPr>
              <w:spacing w:before="60" w:after="60" w:line="288" w:lineRule="auto"/>
              <w:ind w:left="0" w:firstLine="0"/>
              <w:jc w:val="left"/>
              <w:rPr>
                <w:rFonts w:ascii="Arial" w:hAnsi="Arial" w:cs="Arial"/>
                <w:sz w:val="22"/>
                <w:szCs w:val="22"/>
              </w:rPr>
            </w:pPr>
          </w:p>
          <w:p w:rsidR="001C0D93" w:rsidRPr="00C577A9" w:rsidRDefault="001C0D93" w:rsidP="001C3B61">
            <w:pPr>
              <w:spacing w:before="60" w:after="60" w:line="288" w:lineRule="auto"/>
              <w:ind w:left="0" w:firstLine="0"/>
              <w:jc w:val="left"/>
              <w:rPr>
                <w:rFonts w:ascii="Arial" w:hAnsi="Arial" w:cs="Arial"/>
                <w:sz w:val="22"/>
                <w:szCs w:val="22"/>
              </w:rPr>
            </w:pPr>
            <w:r>
              <w:rPr>
                <w:rFonts w:ascii="Arial" w:hAnsi="Arial" w:cs="Arial"/>
                <w:sz w:val="22"/>
                <w:szCs w:val="22"/>
              </w:rPr>
              <w:t>Green</w:t>
            </w:r>
          </w:p>
        </w:tc>
      </w:tr>
      <w:tr w:rsidR="001C0D93" w:rsidRPr="00C577A9" w:rsidTr="009E257F">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Chair West London Climate Emergency Officers Group</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Managing Director</w:t>
            </w:r>
          </w:p>
        </w:tc>
        <w:tc>
          <w:tcPr>
            <w:tcW w:w="3066" w:type="pct"/>
            <w:shd w:val="clear" w:color="auto" w:fill="auto"/>
          </w:tcPr>
          <w:p w:rsidR="001C0D93" w:rsidRPr="00C577A9" w:rsidRDefault="001C0D93" w:rsidP="009E257F">
            <w:pPr>
              <w:spacing w:before="60" w:after="60" w:line="288" w:lineRule="auto"/>
              <w:ind w:left="0" w:firstLine="0"/>
              <w:jc w:val="left"/>
              <w:rPr>
                <w:rFonts w:ascii="Arial" w:hAnsi="Arial" w:cs="Arial"/>
                <w:sz w:val="22"/>
                <w:szCs w:val="22"/>
              </w:rPr>
            </w:pPr>
            <w:r>
              <w:rPr>
                <w:rFonts w:ascii="Arial" w:hAnsi="Arial" w:cs="Arial"/>
                <w:sz w:val="22"/>
                <w:szCs w:val="22"/>
              </w:rPr>
              <w:t xml:space="preserve">Group is developing a new plan for 2023, WLA is considering a net zero post to support coordination of activity in West London.  </w:t>
            </w:r>
            <w:r w:rsidR="009E257F">
              <w:rPr>
                <w:rFonts w:ascii="Arial" w:hAnsi="Arial" w:cs="Arial"/>
                <w:sz w:val="22"/>
                <w:szCs w:val="22"/>
              </w:rPr>
              <w:t xml:space="preserve">Multiple </w:t>
            </w:r>
            <w:r w:rsidRPr="00C577A9">
              <w:rPr>
                <w:rFonts w:ascii="Arial" w:hAnsi="Arial" w:cs="Arial"/>
                <w:sz w:val="22"/>
                <w:szCs w:val="22"/>
              </w:rPr>
              <w:t>webinars</w:t>
            </w:r>
            <w:r w:rsidR="009E257F">
              <w:rPr>
                <w:rFonts w:ascii="Arial" w:hAnsi="Arial" w:cs="Arial"/>
                <w:sz w:val="22"/>
                <w:szCs w:val="22"/>
              </w:rPr>
              <w:t xml:space="preserve"> and</w:t>
            </w:r>
            <w:r>
              <w:rPr>
                <w:rFonts w:ascii="Arial" w:hAnsi="Arial" w:cs="Arial"/>
                <w:sz w:val="22"/>
                <w:szCs w:val="22"/>
              </w:rPr>
              <w:t xml:space="preserve"> </w:t>
            </w:r>
            <w:r w:rsidR="009E257F">
              <w:rPr>
                <w:rFonts w:ascii="Arial" w:hAnsi="Arial" w:cs="Arial"/>
                <w:sz w:val="22"/>
                <w:szCs w:val="22"/>
              </w:rPr>
              <w:t xml:space="preserve">conference </w:t>
            </w:r>
            <w:r>
              <w:rPr>
                <w:rFonts w:ascii="Arial" w:hAnsi="Arial" w:cs="Arial"/>
                <w:sz w:val="22"/>
                <w:szCs w:val="22"/>
              </w:rPr>
              <w:t>p</w:t>
            </w:r>
            <w:r w:rsidRPr="00C577A9">
              <w:rPr>
                <w:rFonts w:ascii="Arial" w:hAnsi="Arial" w:cs="Arial"/>
                <w:sz w:val="22"/>
                <w:szCs w:val="22"/>
              </w:rPr>
              <w:t>resentations.</w:t>
            </w:r>
          </w:p>
        </w:tc>
        <w:tc>
          <w:tcPr>
            <w:tcW w:w="280" w:type="pct"/>
            <w:shd w:val="clear" w:color="auto" w:fill="A8D08D" w:themeFill="accent6" w:themeFillTint="99"/>
          </w:tcPr>
          <w:p w:rsidR="001C0D93" w:rsidRDefault="001C0D93" w:rsidP="001C0D93">
            <w:pPr>
              <w:spacing w:before="60" w:after="60" w:line="288" w:lineRule="auto"/>
              <w:ind w:left="0" w:firstLine="0"/>
              <w:jc w:val="left"/>
              <w:rPr>
                <w:rFonts w:ascii="Arial" w:hAnsi="Arial" w:cs="Arial"/>
                <w:sz w:val="22"/>
                <w:szCs w:val="22"/>
              </w:rPr>
            </w:pPr>
          </w:p>
          <w:p w:rsidR="001C0D93" w:rsidRPr="00C577A9" w:rsidRDefault="001C0D93" w:rsidP="001C0D93">
            <w:pPr>
              <w:spacing w:before="60" w:after="60" w:line="288" w:lineRule="auto"/>
              <w:ind w:left="0" w:firstLine="0"/>
              <w:jc w:val="left"/>
              <w:rPr>
                <w:rFonts w:ascii="Arial" w:hAnsi="Arial" w:cs="Arial"/>
                <w:sz w:val="22"/>
                <w:szCs w:val="22"/>
              </w:rPr>
            </w:pPr>
            <w:r>
              <w:rPr>
                <w:rFonts w:ascii="Arial" w:hAnsi="Arial" w:cs="Arial"/>
                <w:sz w:val="22"/>
                <w:szCs w:val="22"/>
              </w:rPr>
              <w:t>Green</w:t>
            </w:r>
          </w:p>
        </w:tc>
      </w:tr>
      <w:tr w:rsidR="001C0D93" w:rsidRPr="00C577A9" w:rsidTr="00FE38BA">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A Joint Plan for 2030</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Head of Service Delivery</w:t>
            </w:r>
          </w:p>
        </w:tc>
        <w:tc>
          <w:tcPr>
            <w:tcW w:w="3066" w:type="pct"/>
            <w:shd w:val="clear" w:color="auto" w:fill="auto"/>
          </w:tcPr>
          <w:p w:rsidR="001C0D93" w:rsidRPr="00D7298E" w:rsidRDefault="00D7298E" w:rsidP="00D7298E">
            <w:pPr>
              <w:spacing w:before="60" w:after="60" w:line="288" w:lineRule="auto"/>
              <w:ind w:left="0" w:firstLine="0"/>
              <w:jc w:val="left"/>
              <w:rPr>
                <w:rFonts w:ascii="Arial" w:hAnsi="Arial" w:cs="Arial"/>
                <w:sz w:val="22"/>
                <w:szCs w:val="22"/>
              </w:rPr>
            </w:pPr>
            <w:r w:rsidRPr="00D7298E">
              <w:rPr>
                <w:rFonts w:ascii="Arial" w:hAnsi="Arial" w:cs="Arial"/>
                <w:sz w:val="22"/>
                <w:szCs w:val="22"/>
              </w:rPr>
              <w:t>Legislative matrix and risk assessment created. Hampered by delays to publishing critical Government consultation responses, particularly ‘consistency of collections’.</w:t>
            </w:r>
          </w:p>
        </w:tc>
        <w:tc>
          <w:tcPr>
            <w:tcW w:w="280" w:type="pct"/>
            <w:shd w:val="clear" w:color="auto" w:fill="FFD966" w:themeFill="accent4" w:themeFillTint="99"/>
          </w:tcPr>
          <w:p w:rsidR="001C0D93" w:rsidRPr="00C577A9" w:rsidRDefault="00014268" w:rsidP="001C0D93">
            <w:pPr>
              <w:spacing w:before="60" w:after="60" w:line="288" w:lineRule="auto"/>
              <w:ind w:left="0" w:firstLine="0"/>
              <w:jc w:val="left"/>
              <w:rPr>
                <w:rFonts w:ascii="Arial" w:hAnsi="Arial" w:cs="Arial"/>
                <w:sz w:val="22"/>
                <w:szCs w:val="22"/>
              </w:rPr>
            </w:pPr>
            <w:r>
              <w:rPr>
                <w:rFonts w:ascii="Arial" w:hAnsi="Arial" w:cs="Arial"/>
                <w:sz w:val="22"/>
                <w:szCs w:val="22"/>
              </w:rPr>
              <w:t>Amber</w:t>
            </w:r>
          </w:p>
        </w:tc>
      </w:tr>
      <w:tr w:rsidR="001C0D93" w:rsidRPr="00C577A9" w:rsidTr="00FE38BA">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Develop an HR Strategy</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Finance Director</w:t>
            </w:r>
          </w:p>
        </w:tc>
        <w:tc>
          <w:tcPr>
            <w:tcW w:w="3066" w:type="pct"/>
            <w:shd w:val="clear" w:color="auto" w:fill="auto"/>
          </w:tcPr>
          <w:p w:rsidR="001C0D93" w:rsidRPr="00B05534" w:rsidRDefault="00BD7B03" w:rsidP="00014268">
            <w:pPr>
              <w:ind w:left="31" w:hanging="31"/>
              <w:rPr>
                <w:rFonts w:ascii="Arial" w:hAnsi="Arial" w:cs="Arial"/>
                <w:sz w:val="22"/>
                <w:szCs w:val="24"/>
              </w:rPr>
            </w:pPr>
            <w:r w:rsidRPr="00BD7B03">
              <w:rPr>
                <w:rFonts w:ascii="Arial" w:hAnsi="Arial" w:cs="Arial"/>
                <w:sz w:val="22"/>
                <w:szCs w:val="22"/>
              </w:rPr>
              <w:t xml:space="preserve">A draft was developed and agreed with the Treasurer and on 17 February reported to the SLT and the HR Manager for finalisation. Recommend roll over into 23-24 plan with </w:t>
            </w:r>
            <w:proofErr w:type="spellStart"/>
            <w:r w:rsidRPr="00BD7B03">
              <w:rPr>
                <w:rFonts w:ascii="Arial" w:hAnsi="Arial" w:cs="Arial"/>
                <w:sz w:val="22"/>
                <w:szCs w:val="22"/>
              </w:rPr>
              <w:t>HoSD</w:t>
            </w:r>
            <w:proofErr w:type="spellEnd"/>
            <w:r w:rsidRPr="00BD7B03">
              <w:rPr>
                <w:rFonts w:ascii="Arial" w:hAnsi="Arial" w:cs="Arial"/>
                <w:sz w:val="22"/>
                <w:szCs w:val="22"/>
              </w:rPr>
              <w:t xml:space="preserve"> as lead.</w:t>
            </w:r>
          </w:p>
        </w:tc>
        <w:tc>
          <w:tcPr>
            <w:tcW w:w="280" w:type="pct"/>
            <w:shd w:val="clear" w:color="auto" w:fill="FFD966" w:themeFill="accent4" w:themeFillTint="99"/>
          </w:tcPr>
          <w:p w:rsidR="00B05534" w:rsidRPr="00C577A9" w:rsidRDefault="00014268" w:rsidP="001C0D93">
            <w:pPr>
              <w:spacing w:before="60" w:after="60" w:line="288" w:lineRule="auto"/>
              <w:ind w:left="0" w:firstLine="0"/>
              <w:jc w:val="left"/>
              <w:rPr>
                <w:rFonts w:ascii="Arial" w:hAnsi="Arial" w:cs="Arial"/>
                <w:sz w:val="22"/>
                <w:szCs w:val="22"/>
              </w:rPr>
            </w:pPr>
            <w:r>
              <w:rPr>
                <w:rFonts w:ascii="Arial" w:hAnsi="Arial" w:cs="Arial"/>
                <w:sz w:val="22"/>
                <w:szCs w:val="22"/>
              </w:rPr>
              <w:t>Amber</w:t>
            </w:r>
          </w:p>
        </w:tc>
      </w:tr>
      <w:tr w:rsidR="001C0D93" w:rsidRPr="00C577A9" w:rsidTr="00014268">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Prioritising Lean Six Sigma and Data driven decision making for HRRC projects</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Head of Service Delivery</w:t>
            </w:r>
          </w:p>
        </w:tc>
        <w:tc>
          <w:tcPr>
            <w:tcW w:w="3066" w:type="pct"/>
            <w:shd w:val="clear" w:color="auto" w:fill="auto"/>
          </w:tcPr>
          <w:p w:rsidR="001C0D93" w:rsidRPr="00C577A9" w:rsidRDefault="00BD7B03" w:rsidP="00BD7B03">
            <w:pPr>
              <w:spacing w:before="60" w:after="60" w:line="288" w:lineRule="auto"/>
              <w:ind w:left="0" w:firstLine="0"/>
              <w:jc w:val="left"/>
              <w:rPr>
                <w:rFonts w:ascii="Arial" w:hAnsi="Arial" w:cs="Arial"/>
                <w:sz w:val="22"/>
                <w:szCs w:val="22"/>
              </w:rPr>
            </w:pPr>
            <w:r w:rsidRPr="00BD7B03">
              <w:rPr>
                <w:rFonts w:ascii="Arial" w:hAnsi="Arial" w:cs="Arial"/>
                <w:sz w:val="22"/>
                <w:szCs w:val="22"/>
              </w:rPr>
              <w:t>Lean Six Sigma and Data Driven Decision Making skills/culture roll-out plans developed.</w:t>
            </w:r>
            <w:r>
              <w:rPr>
                <w:rFonts w:ascii="Arial" w:hAnsi="Arial" w:cs="Arial"/>
                <w:sz w:val="22"/>
                <w:szCs w:val="22"/>
              </w:rPr>
              <w:t xml:space="preserve">  </w:t>
            </w:r>
            <w:r w:rsidRPr="00BD7B03">
              <w:rPr>
                <w:rFonts w:ascii="Arial" w:hAnsi="Arial" w:cs="Arial"/>
                <w:sz w:val="22"/>
                <w:szCs w:val="22"/>
              </w:rPr>
              <w:t>Dashboard developed for monitoring HRRC improvements and shared with Borough Heads of Service and Operations Managers.</w:t>
            </w:r>
            <w:r>
              <w:rPr>
                <w:rFonts w:ascii="Arial" w:hAnsi="Arial" w:cs="Arial"/>
                <w:sz w:val="22"/>
                <w:szCs w:val="22"/>
              </w:rPr>
              <w:t xml:space="preserve">  </w:t>
            </w:r>
            <w:r w:rsidRPr="00BD7B03">
              <w:rPr>
                <w:rFonts w:ascii="Arial" w:hAnsi="Arial" w:cs="Arial"/>
                <w:sz w:val="22"/>
                <w:szCs w:val="22"/>
              </w:rPr>
              <w:t>Data visualisation training rolled out internally to all staff.</w:t>
            </w:r>
          </w:p>
        </w:tc>
        <w:tc>
          <w:tcPr>
            <w:tcW w:w="280" w:type="pct"/>
            <w:shd w:val="clear" w:color="auto" w:fill="A8D08D" w:themeFill="accent6" w:themeFillTint="99"/>
          </w:tcPr>
          <w:p w:rsidR="001C0D93" w:rsidRPr="00C577A9" w:rsidRDefault="00014268" w:rsidP="001C0D93">
            <w:pPr>
              <w:spacing w:before="60" w:after="60" w:line="288" w:lineRule="auto"/>
              <w:ind w:left="0" w:firstLine="0"/>
              <w:jc w:val="left"/>
              <w:rPr>
                <w:rFonts w:ascii="Arial" w:hAnsi="Arial" w:cs="Arial"/>
                <w:sz w:val="22"/>
                <w:szCs w:val="22"/>
              </w:rPr>
            </w:pPr>
            <w:r>
              <w:rPr>
                <w:rFonts w:ascii="Arial" w:hAnsi="Arial" w:cs="Arial"/>
                <w:sz w:val="22"/>
                <w:szCs w:val="22"/>
              </w:rPr>
              <w:t>Green</w:t>
            </w:r>
          </w:p>
        </w:tc>
      </w:tr>
      <w:tr w:rsidR="001C0D93" w:rsidRPr="00C577A9" w:rsidTr="009E257F">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Attend and present at West London Treasurer meetings</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Finance Director</w:t>
            </w:r>
          </w:p>
        </w:tc>
        <w:tc>
          <w:tcPr>
            <w:tcW w:w="3066" w:type="pct"/>
            <w:shd w:val="clear" w:color="auto" w:fill="auto"/>
          </w:tcPr>
          <w:p w:rsidR="001C0D93" w:rsidRPr="00CB77B5" w:rsidRDefault="00CB77B5" w:rsidP="00CB77B5">
            <w:pPr>
              <w:spacing w:after="160" w:line="259" w:lineRule="auto"/>
              <w:ind w:left="0" w:firstLine="0"/>
              <w:jc w:val="left"/>
              <w:rPr>
                <w:rFonts w:ascii="Arial" w:hAnsi="Arial" w:cs="Arial"/>
                <w:sz w:val="22"/>
                <w:szCs w:val="22"/>
              </w:rPr>
            </w:pPr>
            <w:r w:rsidRPr="00CB77B5">
              <w:rPr>
                <w:rFonts w:ascii="Arial" w:hAnsi="Arial" w:cs="Arial"/>
                <w:sz w:val="22"/>
                <w:szCs w:val="22"/>
              </w:rPr>
              <w:t>All WLT meetings have been attended and have included WLWA Updates covering a range of strategic and operational information and have fostered good engagement reflecte</w:t>
            </w:r>
            <w:r>
              <w:rPr>
                <w:rFonts w:ascii="Arial" w:hAnsi="Arial" w:cs="Arial"/>
                <w:sz w:val="22"/>
                <w:szCs w:val="22"/>
              </w:rPr>
              <w:t>d in discussions and questions.  Delivered.</w:t>
            </w:r>
          </w:p>
        </w:tc>
        <w:tc>
          <w:tcPr>
            <w:tcW w:w="280" w:type="pct"/>
            <w:shd w:val="clear" w:color="auto" w:fill="A8D08D" w:themeFill="accent6" w:themeFillTint="99"/>
          </w:tcPr>
          <w:p w:rsidR="009E257F" w:rsidRPr="00C577A9" w:rsidRDefault="009E257F" w:rsidP="001C0D93">
            <w:pPr>
              <w:spacing w:before="60" w:after="60" w:line="288" w:lineRule="auto"/>
              <w:ind w:left="0" w:firstLine="0"/>
              <w:jc w:val="left"/>
              <w:rPr>
                <w:rFonts w:ascii="Arial" w:hAnsi="Arial" w:cs="Arial"/>
                <w:sz w:val="22"/>
                <w:szCs w:val="22"/>
              </w:rPr>
            </w:pPr>
            <w:r>
              <w:rPr>
                <w:rFonts w:ascii="Arial" w:hAnsi="Arial" w:cs="Arial"/>
                <w:sz w:val="22"/>
                <w:szCs w:val="22"/>
              </w:rPr>
              <w:t>Green</w:t>
            </w:r>
          </w:p>
        </w:tc>
      </w:tr>
      <w:tr w:rsidR="001C0D93" w:rsidRPr="00C577A9" w:rsidTr="00014268">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Build partnerships through collaborative procurements</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Procurements and Contracts Manager</w:t>
            </w:r>
          </w:p>
        </w:tc>
        <w:tc>
          <w:tcPr>
            <w:tcW w:w="3066" w:type="pct"/>
            <w:shd w:val="clear" w:color="auto" w:fill="auto"/>
          </w:tcPr>
          <w:p w:rsidR="001C0D93" w:rsidRPr="00C577A9" w:rsidRDefault="00BD7B03" w:rsidP="00BD7B03">
            <w:pPr>
              <w:spacing w:before="60" w:after="60" w:line="288" w:lineRule="auto"/>
              <w:ind w:left="0" w:firstLine="0"/>
              <w:jc w:val="left"/>
              <w:rPr>
                <w:rFonts w:ascii="Arial" w:hAnsi="Arial" w:cs="Arial"/>
                <w:sz w:val="22"/>
                <w:szCs w:val="22"/>
              </w:rPr>
            </w:pPr>
            <w:r w:rsidRPr="00BD7B03">
              <w:rPr>
                <w:rFonts w:ascii="Arial" w:hAnsi="Arial" w:cs="Arial"/>
                <w:sz w:val="22"/>
                <w:szCs w:val="22"/>
              </w:rPr>
              <w:t>Procurements delivered for waste transport, green waste management and rubble management, all with a strong carbon and social value focus, and leading to savings.</w:t>
            </w:r>
            <w:r>
              <w:rPr>
                <w:rFonts w:ascii="Arial" w:hAnsi="Arial" w:cs="Arial"/>
                <w:sz w:val="22"/>
                <w:szCs w:val="22"/>
              </w:rPr>
              <w:t xml:space="preserve">  </w:t>
            </w:r>
            <w:r w:rsidRPr="00BD7B03">
              <w:rPr>
                <w:rFonts w:ascii="Arial" w:hAnsi="Arial" w:cs="Arial"/>
                <w:sz w:val="22"/>
                <w:szCs w:val="22"/>
              </w:rPr>
              <w:t>Joint procurement delivered for managing paper and card for several Boroughs, leading to increased savings and strengthened partnerships.</w:t>
            </w:r>
          </w:p>
        </w:tc>
        <w:tc>
          <w:tcPr>
            <w:tcW w:w="280" w:type="pct"/>
            <w:shd w:val="clear" w:color="auto" w:fill="A8D08D" w:themeFill="accent6" w:themeFillTint="99"/>
          </w:tcPr>
          <w:p w:rsidR="001C0D93" w:rsidRPr="00C577A9" w:rsidRDefault="00014268" w:rsidP="001C0D93">
            <w:pPr>
              <w:spacing w:before="60" w:after="60" w:line="288" w:lineRule="auto"/>
              <w:ind w:left="0" w:firstLine="0"/>
              <w:jc w:val="left"/>
              <w:rPr>
                <w:rFonts w:ascii="Arial" w:hAnsi="Arial" w:cs="Arial"/>
                <w:sz w:val="22"/>
                <w:szCs w:val="22"/>
              </w:rPr>
            </w:pPr>
            <w:r>
              <w:rPr>
                <w:rFonts w:ascii="Arial" w:hAnsi="Arial" w:cs="Arial"/>
                <w:sz w:val="22"/>
                <w:szCs w:val="22"/>
              </w:rPr>
              <w:t>Green</w:t>
            </w:r>
          </w:p>
        </w:tc>
      </w:tr>
      <w:tr w:rsidR="001C0D93" w:rsidRPr="00C577A9" w:rsidTr="00014268">
        <w:tc>
          <w:tcPr>
            <w:tcW w:w="954"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Theme lead for pan-London Reducing Consumption Emissions programme</w:t>
            </w:r>
          </w:p>
        </w:tc>
        <w:tc>
          <w:tcPr>
            <w:tcW w:w="700" w:type="pct"/>
            <w:shd w:val="clear" w:color="auto" w:fill="auto"/>
          </w:tcPr>
          <w:p w:rsidR="001C0D93" w:rsidRPr="00C577A9" w:rsidRDefault="001C0D93" w:rsidP="001C0D93">
            <w:pPr>
              <w:spacing w:before="60" w:after="60" w:line="288" w:lineRule="auto"/>
              <w:ind w:left="0" w:firstLine="0"/>
              <w:jc w:val="left"/>
              <w:rPr>
                <w:rFonts w:ascii="Arial" w:hAnsi="Arial" w:cs="Arial"/>
                <w:sz w:val="22"/>
                <w:szCs w:val="22"/>
              </w:rPr>
            </w:pPr>
            <w:r w:rsidRPr="00C577A9">
              <w:rPr>
                <w:rFonts w:ascii="Arial" w:hAnsi="Arial" w:cs="Arial"/>
                <w:sz w:val="22"/>
                <w:szCs w:val="22"/>
              </w:rPr>
              <w:t xml:space="preserve">Project Manager </w:t>
            </w:r>
            <w:r w:rsidRPr="00C577A9">
              <w:rPr>
                <w:rFonts w:ascii="Arial" w:hAnsi="Arial" w:cs="Arial"/>
                <w:sz w:val="22"/>
                <w:szCs w:val="22"/>
              </w:rPr>
              <w:br/>
              <w:t>(E Hall)</w:t>
            </w:r>
          </w:p>
        </w:tc>
        <w:tc>
          <w:tcPr>
            <w:tcW w:w="3066" w:type="pct"/>
            <w:shd w:val="clear" w:color="auto" w:fill="auto"/>
          </w:tcPr>
          <w:p w:rsidR="001C0D93" w:rsidRPr="00C577A9" w:rsidRDefault="00BD3F2B" w:rsidP="001C0D93">
            <w:pPr>
              <w:spacing w:before="60" w:after="60" w:line="288" w:lineRule="auto"/>
              <w:ind w:left="0" w:firstLine="0"/>
              <w:jc w:val="left"/>
              <w:rPr>
                <w:rFonts w:ascii="Arial" w:hAnsi="Arial" w:cs="Arial"/>
                <w:sz w:val="22"/>
                <w:szCs w:val="22"/>
              </w:rPr>
            </w:pPr>
            <w:r>
              <w:rPr>
                <w:rFonts w:ascii="Arial" w:hAnsi="Arial" w:cs="Arial"/>
                <w:szCs w:val="24"/>
              </w:rPr>
              <w:t>Strategy developed targeting reduction/reuse and phasing London wide Borough uptake of WLWA style TRAID textiles/e-waste collections.</w:t>
            </w:r>
          </w:p>
        </w:tc>
        <w:tc>
          <w:tcPr>
            <w:tcW w:w="280" w:type="pct"/>
            <w:shd w:val="clear" w:color="auto" w:fill="A8D08D" w:themeFill="accent6" w:themeFillTint="99"/>
          </w:tcPr>
          <w:p w:rsidR="001C0D93" w:rsidRPr="00C577A9" w:rsidRDefault="00014268" w:rsidP="001C0D93">
            <w:pPr>
              <w:spacing w:before="60" w:after="60" w:line="288" w:lineRule="auto"/>
              <w:ind w:left="0" w:firstLine="0"/>
              <w:jc w:val="left"/>
              <w:rPr>
                <w:rFonts w:ascii="Arial" w:hAnsi="Arial" w:cs="Arial"/>
                <w:sz w:val="22"/>
                <w:szCs w:val="22"/>
              </w:rPr>
            </w:pPr>
            <w:r>
              <w:rPr>
                <w:rFonts w:ascii="Arial" w:hAnsi="Arial" w:cs="Arial"/>
                <w:sz w:val="22"/>
                <w:szCs w:val="22"/>
              </w:rPr>
              <w:t>Green</w:t>
            </w:r>
          </w:p>
        </w:tc>
      </w:tr>
    </w:tbl>
    <w:p w:rsidR="002F3655" w:rsidRDefault="002F3655" w:rsidP="001342E2">
      <w:pPr>
        <w:numPr>
          <w:ilvl w:val="1"/>
          <w:numId w:val="11"/>
        </w:numPr>
        <w:spacing w:before="60" w:after="60" w:line="288" w:lineRule="auto"/>
        <w:rPr>
          <w:rFonts w:ascii="Arial" w:hAnsi="Arial" w:cs="Arial"/>
          <w:b/>
          <w:szCs w:val="24"/>
        </w:rPr>
      </w:pPr>
      <w:r>
        <w:rPr>
          <w:rFonts w:ascii="Arial" w:hAnsi="Arial" w:cs="Arial"/>
          <w:b/>
          <w:szCs w:val="24"/>
        </w:rPr>
        <w:lastRenderedPageBreak/>
        <w:t>Projects and Investments</w:t>
      </w:r>
    </w:p>
    <w:p w:rsidR="00541649" w:rsidRDefault="00970BD9" w:rsidP="001C3B61">
      <w:pPr>
        <w:spacing w:before="60" w:after="60" w:line="288" w:lineRule="auto"/>
        <w:ind w:left="709" w:firstLine="0"/>
        <w:rPr>
          <w:rFonts w:ascii="Arial" w:hAnsi="Arial" w:cs="Arial"/>
          <w:szCs w:val="24"/>
        </w:rPr>
      </w:pPr>
      <w:r w:rsidRPr="007B1686">
        <w:rPr>
          <w:rFonts w:ascii="Arial" w:hAnsi="Arial" w:cs="Arial"/>
          <w:szCs w:val="24"/>
        </w:rPr>
        <w:t>WLWA</w:t>
      </w:r>
      <w:r>
        <w:rPr>
          <w:rFonts w:ascii="Arial" w:hAnsi="Arial" w:cs="Arial"/>
          <w:szCs w:val="24"/>
        </w:rPr>
        <w:t xml:space="preserve"> has invested £3m in food waste projects and £1.2m in HRRC recycling and reuse projects.  We must demonstrate the waste reduction and recycling outcomes </w:t>
      </w:r>
      <w:r w:rsidR="00D21688">
        <w:rPr>
          <w:rFonts w:ascii="Arial" w:hAnsi="Arial" w:cs="Arial"/>
          <w:szCs w:val="24"/>
        </w:rPr>
        <w:t>and</w:t>
      </w:r>
      <w:r>
        <w:rPr>
          <w:rFonts w:ascii="Arial" w:hAnsi="Arial" w:cs="Arial"/>
          <w:szCs w:val="24"/>
        </w:rPr>
        <w:t xml:space="preserve"> build trust in </w:t>
      </w:r>
      <w:r w:rsidR="00D21688">
        <w:rPr>
          <w:rFonts w:ascii="Arial" w:hAnsi="Arial" w:cs="Arial"/>
          <w:szCs w:val="24"/>
        </w:rPr>
        <w:t>future investment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9357"/>
        <w:gridCol w:w="955"/>
      </w:tblGrid>
      <w:tr w:rsidR="00023B92" w:rsidRPr="00D25E70" w:rsidTr="00023B92">
        <w:tc>
          <w:tcPr>
            <w:tcW w:w="918" w:type="pct"/>
            <w:shd w:val="clear" w:color="auto" w:fill="auto"/>
          </w:tcPr>
          <w:p w:rsidR="00023B92" w:rsidRPr="00D25E70" w:rsidRDefault="00023B92" w:rsidP="00D25E70">
            <w:pPr>
              <w:spacing w:before="60" w:after="60" w:line="288" w:lineRule="auto"/>
              <w:ind w:left="0" w:firstLine="0"/>
              <w:rPr>
                <w:rFonts w:ascii="Arial" w:hAnsi="Arial" w:cs="Arial"/>
                <w:szCs w:val="24"/>
              </w:rPr>
            </w:pPr>
            <w:r w:rsidRPr="00D25E70">
              <w:rPr>
                <w:rFonts w:ascii="Arial" w:hAnsi="Arial" w:cs="Arial"/>
                <w:szCs w:val="24"/>
              </w:rPr>
              <w:t>Item</w:t>
            </w:r>
          </w:p>
        </w:tc>
        <w:tc>
          <w:tcPr>
            <w:tcW w:w="736" w:type="pct"/>
            <w:shd w:val="clear" w:color="auto" w:fill="auto"/>
          </w:tcPr>
          <w:p w:rsidR="00023B92" w:rsidRPr="00D25E70" w:rsidRDefault="00023B92" w:rsidP="00D25E70">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3036" w:type="pct"/>
            <w:shd w:val="clear" w:color="auto" w:fill="auto"/>
          </w:tcPr>
          <w:p w:rsidR="00023B92" w:rsidRPr="00D25E70" w:rsidRDefault="00023B92" w:rsidP="00D25E70">
            <w:pPr>
              <w:spacing w:before="60" w:after="60" w:line="288" w:lineRule="auto"/>
              <w:ind w:left="0" w:firstLine="0"/>
              <w:rPr>
                <w:rFonts w:ascii="Arial" w:hAnsi="Arial" w:cs="Arial"/>
                <w:szCs w:val="24"/>
              </w:rPr>
            </w:pPr>
            <w:r w:rsidRPr="00D25E70">
              <w:rPr>
                <w:rFonts w:ascii="Arial" w:hAnsi="Arial" w:cs="Arial"/>
                <w:szCs w:val="24"/>
              </w:rPr>
              <w:t>Outcome</w:t>
            </w:r>
          </w:p>
        </w:tc>
        <w:tc>
          <w:tcPr>
            <w:tcW w:w="310" w:type="pct"/>
          </w:tcPr>
          <w:p w:rsidR="00023B92" w:rsidRPr="00D25E70" w:rsidRDefault="00023B92" w:rsidP="00D25E70">
            <w:pPr>
              <w:spacing w:before="60" w:after="60" w:line="288" w:lineRule="auto"/>
              <w:ind w:left="0" w:firstLine="0"/>
              <w:rPr>
                <w:rFonts w:ascii="Arial" w:hAnsi="Arial" w:cs="Arial"/>
                <w:szCs w:val="24"/>
              </w:rPr>
            </w:pPr>
          </w:p>
        </w:tc>
      </w:tr>
      <w:tr w:rsidR="00023B92" w:rsidRPr="00D25E70" w:rsidTr="00740739">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WLWA Finance Strategy.</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3036" w:type="pct"/>
            <w:shd w:val="clear" w:color="auto" w:fill="auto"/>
          </w:tcPr>
          <w:p w:rsidR="00023B92" w:rsidRPr="001342E2" w:rsidRDefault="00CB77B5" w:rsidP="00014268">
            <w:pPr>
              <w:ind w:left="0" w:firstLine="0"/>
              <w:rPr>
                <w:rFonts w:ascii="Arial" w:hAnsi="Arial" w:cs="Arial"/>
                <w:szCs w:val="24"/>
              </w:rPr>
            </w:pPr>
            <w:r>
              <w:rPr>
                <w:rFonts w:ascii="Arial" w:hAnsi="Arial" w:cs="Arial"/>
                <w:szCs w:val="24"/>
              </w:rPr>
              <w:t>This was discussed in detail and agreed by both WLT and WLED following a collaborative development process and very successful engagement. This was demonstrated when the Executive Directors recognised and agreed to the Authority retaining a third of PPP income to help deliver wider strategic projects.</w:t>
            </w:r>
          </w:p>
        </w:tc>
        <w:tc>
          <w:tcPr>
            <w:tcW w:w="310" w:type="pct"/>
            <w:shd w:val="clear" w:color="auto" w:fill="A8D08D" w:themeFill="accent6" w:themeFillTint="99"/>
          </w:tcPr>
          <w:p w:rsidR="00023B92" w:rsidRPr="00D25E70" w:rsidRDefault="00740739" w:rsidP="001C3B61">
            <w:pPr>
              <w:spacing w:before="60" w:after="60" w:line="288" w:lineRule="auto"/>
              <w:ind w:left="0" w:firstLine="0"/>
              <w:jc w:val="left"/>
              <w:rPr>
                <w:rFonts w:ascii="Arial" w:hAnsi="Arial" w:cs="Arial"/>
                <w:szCs w:val="24"/>
              </w:rPr>
            </w:pPr>
            <w:r>
              <w:rPr>
                <w:rFonts w:ascii="Arial" w:hAnsi="Arial" w:cs="Arial"/>
                <w:sz w:val="22"/>
                <w:szCs w:val="22"/>
              </w:rPr>
              <w:t>Green</w:t>
            </w:r>
          </w:p>
        </w:tc>
      </w:tr>
      <w:tr w:rsidR="00023B92" w:rsidRPr="00D25E70" w:rsidTr="00740739">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Optimise income from the PPP contract</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3036" w:type="pct"/>
            <w:shd w:val="clear" w:color="auto" w:fill="auto"/>
          </w:tcPr>
          <w:p w:rsidR="00023B92" w:rsidRPr="001342E2" w:rsidRDefault="00CB77B5" w:rsidP="00FE38BA">
            <w:pPr>
              <w:ind w:left="0" w:firstLine="0"/>
              <w:rPr>
                <w:rFonts w:ascii="Arial" w:hAnsi="Arial" w:cs="Arial"/>
                <w:szCs w:val="24"/>
              </w:rPr>
            </w:pPr>
            <w:r>
              <w:rPr>
                <w:rFonts w:ascii="Arial" w:hAnsi="Arial" w:cs="Arial"/>
                <w:szCs w:val="24"/>
              </w:rPr>
              <w:t xml:space="preserve">This has involved working closely with both the </w:t>
            </w:r>
            <w:proofErr w:type="spellStart"/>
            <w:r>
              <w:rPr>
                <w:rFonts w:ascii="Arial" w:hAnsi="Arial" w:cs="Arial"/>
                <w:szCs w:val="24"/>
              </w:rPr>
              <w:t>HoSD</w:t>
            </w:r>
            <w:proofErr w:type="spellEnd"/>
            <w:r>
              <w:rPr>
                <w:rFonts w:ascii="Arial" w:hAnsi="Arial" w:cs="Arial"/>
                <w:szCs w:val="24"/>
              </w:rPr>
              <w:t xml:space="preserve"> and PD to unravel the complex financial implications and relationships between stakeholders</w:t>
            </w:r>
            <w:r w:rsidR="00FE38BA">
              <w:rPr>
                <w:rFonts w:ascii="Arial" w:hAnsi="Arial" w:cs="Arial"/>
                <w:szCs w:val="24"/>
              </w:rPr>
              <w:t>.</w:t>
            </w:r>
            <w:r>
              <w:rPr>
                <w:rFonts w:ascii="Arial" w:hAnsi="Arial" w:cs="Arial"/>
                <w:szCs w:val="24"/>
              </w:rPr>
              <w:t xml:space="preserve"> The </w:t>
            </w:r>
            <w:proofErr w:type="spellStart"/>
            <w:r>
              <w:rPr>
                <w:rFonts w:ascii="Arial" w:hAnsi="Arial" w:cs="Arial"/>
                <w:szCs w:val="24"/>
              </w:rPr>
              <w:t>HoT</w:t>
            </w:r>
            <w:proofErr w:type="spellEnd"/>
            <w:r>
              <w:rPr>
                <w:rFonts w:ascii="Arial" w:hAnsi="Arial" w:cs="Arial"/>
                <w:szCs w:val="24"/>
              </w:rPr>
              <w:t xml:space="preserve"> are now agreed and work on the variation has commenced.</w:t>
            </w:r>
          </w:p>
        </w:tc>
        <w:tc>
          <w:tcPr>
            <w:tcW w:w="310" w:type="pct"/>
            <w:shd w:val="clear" w:color="auto" w:fill="A8D08D" w:themeFill="accent6" w:themeFillTint="99"/>
          </w:tcPr>
          <w:p w:rsidR="00023B92" w:rsidRPr="00D25E70" w:rsidRDefault="00740739" w:rsidP="00023B92">
            <w:pPr>
              <w:spacing w:before="60" w:after="60" w:line="288" w:lineRule="auto"/>
              <w:ind w:left="0" w:firstLine="0"/>
              <w:jc w:val="left"/>
              <w:rPr>
                <w:rFonts w:ascii="Arial" w:hAnsi="Arial" w:cs="Arial"/>
                <w:szCs w:val="24"/>
              </w:rPr>
            </w:pPr>
            <w:r>
              <w:rPr>
                <w:rFonts w:ascii="Arial" w:hAnsi="Arial" w:cs="Arial"/>
                <w:sz w:val="22"/>
                <w:szCs w:val="22"/>
              </w:rPr>
              <w:t>Green</w:t>
            </w:r>
          </w:p>
        </w:tc>
      </w:tr>
      <w:tr w:rsidR="00023B92" w:rsidRPr="00D25E70" w:rsidTr="00FE38BA">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Infrastructure Investment Plan</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Finance Director</w:t>
            </w:r>
          </w:p>
        </w:tc>
        <w:tc>
          <w:tcPr>
            <w:tcW w:w="3036" w:type="pct"/>
            <w:shd w:val="clear" w:color="auto" w:fill="auto"/>
          </w:tcPr>
          <w:p w:rsidR="00023B92" w:rsidRPr="00D25E70" w:rsidRDefault="00FE38BA" w:rsidP="00FE38BA">
            <w:pPr>
              <w:ind w:left="0" w:firstLine="0"/>
              <w:rPr>
                <w:rFonts w:ascii="Arial" w:hAnsi="Arial" w:cs="Arial"/>
                <w:szCs w:val="24"/>
              </w:rPr>
            </w:pPr>
            <w:r>
              <w:rPr>
                <w:rFonts w:ascii="Arial" w:hAnsi="Arial" w:cs="Arial"/>
                <w:szCs w:val="24"/>
              </w:rPr>
              <w:t>I</w:t>
            </w:r>
            <w:r w:rsidR="00CB77B5">
              <w:rPr>
                <w:rFonts w:ascii="Arial" w:hAnsi="Arial" w:cs="Arial"/>
                <w:szCs w:val="24"/>
              </w:rPr>
              <w:t xml:space="preserve">dentify with partners the range of solutions to upcoming challenges including infrastructure needs. </w:t>
            </w:r>
            <w:r w:rsidR="001D523B">
              <w:rPr>
                <w:rFonts w:ascii="Arial" w:hAnsi="Arial" w:cs="Arial"/>
                <w:szCs w:val="24"/>
              </w:rPr>
              <w:t>Hampered by legislative delays.</w:t>
            </w:r>
          </w:p>
        </w:tc>
        <w:tc>
          <w:tcPr>
            <w:tcW w:w="310" w:type="pct"/>
            <w:shd w:val="clear" w:color="auto" w:fill="C45911" w:themeFill="accent2" w:themeFillShade="BF"/>
          </w:tcPr>
          <w:p w:rsidR="00023B92" w:rsidRPr="00D25E70" w:rsidRDefault="00014268" w:rsidP="001C3B61">
            <w:pPr>
              <w:spacing w:before="60" w:after="60" w:line="288" w:lineRule="auto"/>
              <w:ind w:left="0" w:firstLine="0"/>
              <w:jc w:val="left"/>
              <w:rPr>
                <w:rFonts w:ascii="Arial" w:hAnsi="Arial" w:cs="Arial"/>
                <w:szCs w:val="24"/>
              </w:rPr>
            </w:pPr>
            <w:r>
              <w:rPr>
                <w:rFonts w:ascii="Arial" w:hAnsi="Arial" w:cs="Arial"/>
                <w:szCs w:val="24"/>
              </w:rPr>
              <w:t>Red</w:t>
            </w:r>
          </w:p>
        </w:tc>
      </w:tr>
      <w:tr w:rsidR="00023B92" w:rsidRPr="00D25E70" w:rsidTr="00FE38BA">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Food Waste Programme</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3036" w:type="pct"/>
            <w:shd w:val="clear" w:color="auto" w:fill="auto"/>
          </w:tcPr>
          <w:p w:rsidR="00023B92" w:rsidRPr="00D25E70" w:rsidRDefault="00023B92" w:rsidP="00FE38BA">
            <w:pPr>
              <w:spacing w:before="60" w:after="60" w:line="288" w:lineRule="auto"/>
              <w:ind w:left="0" w:firstLine="0"/>
              <w:jc w:val="left"/>
              <w:rPr>
                <w:rFonts w:ascii="Arial" w:hAnsi="Arial" w:cs="Arial"/>
                <w:szCs w:val="24"/>
              </w:rPr>
            </w:pPr>
            <w:r>
              <w:rPr>
                <w:rFonts w:ascii="Arial" w:hAnsi="Arial" w:cs="Arial"/>
                <w:szCs w:val="24"/>
              </w:rPr>
              <w:t xml:space="preserve">Waste composition </w:t>
            </w:r>
            <w:r w:rsidR="00FE38BA">
              <w:rPr>
                <w:rFonts w:ascii="Arial" w:hAnsi="Arial" w:cs="Arial"/>
                <w:szCs w:val="24"/>
              </w:rPr>
              <w:t>completed in</w:t>
            </w:r>
            <w:r>
              <w:rPr>
                <w:rFonts w:ascii="Arial" w:hAnsi="Arial" w:cs="Arial"/>
                <w:szCs w:val="24"/>
              </w:rPr>
              <w:t xml:space="preserve"> Sept 2022.</w:t>
            </w:r>
            <w:r w:rsidR="00BD3F2B">
              <w:rPr>
                <w:rFonts w:ascii="Arial" w:hAnsi="Arial" w:cs="Arial"/>
                <w:szCs w:val="24"/>
              </w:rPr>
              <w:t xml:space="preserve"> Reported to the March Authority meeting overall food waste arising has dropped from the baseline years and increasing access to more households across the region.</w:t>
            </w:r>
          </w:p>
        </w:tc>
        <w:tc>
          <w:tcPr>
            <w:tcW w:w="310" w:type="pct"/>
            <w:shd w:val="clear" w:color="auto" w:fill="A8D08D" w:themeFill="accent6" w:themeFillTint="99"/>
          </w:tcPr>
          <w:p w:rsidR="00023B92" w:rsidRPr="00D25E70" w:rsidRDefault="00FE38BA" w:rsidP="00023B92">
            <w:pPr>
              <w:spacing w:before="60" w:after="60" w:line="288" w:lineRule="auto"/>
              <w:ind w:left="0" w:firstLine="0"/>
              <w:jc w:val="left"/>
              <w:rPr>
                <w:rFonts w:ascii="Arial" w:hAnsi="Arial" w:cs="Arial"/>
                <w:szCs w:val="24"/>
              </w:rPr>
            </w:pPr>
            <w:r>
              <w:rPr>
                <w:rFonts w:ascii="Arial" w:hAnsi="Arial" w:cs="Arial"/>
                <w:szCs w:val="24"/>
              </w:rPr>
              <w:t>Green</w:t>
            </w:r>
          </w:p>
        </w:tc>
      </w:tr>
      <w:tr w:rsidR="00023B92" w:rsidRPr="00D25E70" w:rsidTr="00FE38BA">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HRRCs waste diversion programme</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Operations Manager</w:t>
            </w:r>
          </w:p>
        </w:tc>
        <w:tc>
          <w:tcPr>
            <w:tcW w:w="3036" w:type="pct"/>
            <w:shd w:val="clear" w:color="auto" w:fill="auto"/>
          </w:tcPr>
          <w:p w:rsidR="00023B92" w:rsidRPr="00FE38BA" w:rsidRDefault="00BD7B03" w:rsidP="00FE38BA">
            <w:pPr>
              <w:spacing w:before="60" w:after="60" w:line="288" w:lineRule="auto"/>
              <w:ind w:left="0" w:firstLine="0"/>
              <w:jc w:val="left"/>
              <w:rPr>
                <w:rFonts w:ascii="Arial" w:hAnsi="Arial" w:cs="Arial"/>
                <w:szCs w:val="24"/>
              </w:rPr>
            </w:pPr>
            <w:r w:rsidRPr="00FE38BA">
              <w:rPr>
                <w:rFonts w:ascii="Arial" w:hAnsi="Arial" w:cs="Arial"/>
                <w:szCs w:val="24"/>
              </w:rPr>
              <w:t>Improvements delivered at all Borough sites. Diversion rates are now over 40% at all sites. Key achievements, all saving cost and carbon, include the introduction of rubble recycling at Harrow, separation of bulky and black bag waste at four sites (previously two), an increased reuse offering and introduction of black-bag splitting.</w:t>
            </w:r>
          </w:p>
        </w:tc>
        <w:tc>
          <w:tcPr>
            <w:tcW w:w="310" w:type="pct"/>
            <w:shd w:val="clear" w:color="auto" w:fill="A8D08D" w:themeFill="accent6" w:themeFillTint="99"/>
          </w:tcPr>
          <w:p w:rsidR="00023B92"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Green</w:t>
            </w:r>
          </w:p>
        </w:tc>
      </w:tr>
      <w:tr w:rsidR="00023B92" w:rsidRPr="00D25E70" w:rsidTr="00FE38BA">
        <w:tc>
          <w:tcPr>
            <w:tcW w:w="918" w:type="pct"/>
            <w:shd w:val="clear" w:color="auto" w:fill="auto"/>
          </w:tcPr>
          <w:p w:rsidR="00023B92" w:rsidRPr="00D25E70" w:rsidRDefault="00023B92" w:rsidP="00FE38BA">
            <w:pPr>
              <w:spacing w:before="60" w:after="60" w:line="288" w:lineRule="auto"/>
              <w:ind w:left="0" w:firstLine="0"/>
              <w:jc w:val="left"/>
              <w:rPr>
                <w:rFonts w:ascii="Arial" w:hAnsi="Arial" w:cs="Arial"/>
                <w:szCs w:val="24"/>
              </w:rPr>
            </w:pPr>
            <w:r w:rsidRPr="00D25E70">
              <w:rPr>
                <w:rFonts w:ascii="Arial" w:hAnsi="Arial" w:cs="Arial"/>
                <w:szCs w:val="24"/>
              </w:rPr>
              <w:t xml:space="preserve">Prepare for </w:t>
            </w:r>
            <w:r w:rsidR="00FE38BA" w:rsidRPr="00D25E70">
              <w:rPr>
                <w:rFonts w:ascii="Arial" w:hAnsi="Arial" w:cs="Arial"/>
                <w:szCs w:val="24"/>
              </w:rPr>
              <w:t>EPR</w:t>
            </w:r>
            <w:r w:rsidR="00FE38BA">
              <w:rPr>
                <w:rFonts w:ascii="Arial" w:hAnsi="Arial" w:cs="Arial"/>
                <w:szCs w:val="24"/>
              </w:rPr>
              <w:t>,</w:t>
            </w:r>
            <w:r w:rsidR="00FE38BA" w:rsidRPr="00D25E70">
              <w:rPr>
                <w:rFonts w:ascii="Arial" w:hAnsi="Arial" w:cs="Arial"/>
                <w:szCs w:val="24"/>
              </w:rPr>
              <w:t xml:space="preserve"> DRS </w:t>
            </w:r>
            <w:r w:rsidR="00FE38BA">
              <w:rPr>
                <w:rFonts w:ascii="Arial" w:hAnsi="Arial" w:cs="Arial"/>
                <w:szCs w:val="24"/>
              </w:rPr>
              <w:t xml:space="preserve">and </w:t>
            </w:r>
            <w:r w:rsidRPr="00D25E70">
              <w:rPr>
                <w:rFonts w:ascii="Arial" w:hAnsi="Arial" w:cs="Arial"/>
                <w:szCs w:val="24"/>
              </w:rPr>
              <w:t>Consistency impacts on Boroughs</w:t>
            </w:r>
          </w:p>
        </w:tc>
        <w:tc>
          <w:tcPr>
            <w:tcW w:w="736" w:type="pct"/>
            <w:shd w:val="clear" w:color="auto" w:fill="auto"/>
          </w:tcPr>
          <w:p w:rsidR="00023B92" w:rsidRPr="00D25E70" w:rsidRDefault="00023B92" w:rsidP="00A877C0">
            <w:pPr>
              <w:spacing w:before="60" w:after="60" w:line="288" w:lineRule="auto"/>
              <w:ind w:left="0" w:firstLine="0"/>
              <w:jc w:val="left"/>
              <w:rPr>
                <w:rFonts w:ascii="Arial" w:hAnsi="Arial" w:cs="Arial"/>
                <w:szCs w:val="24"/>
              </w:rPr>
            </w:pPr>
            <w:r>
              <w:rPr>
                <w:rFonts w:ascii="Arial" w:hAnsi="Arial" w:cs="Arial"/>
                <w:szCs w:val="24"/>
              </w:rPr>
              <w:t>Senior Project Manager</w:t>
            </w:r>
            <w:r w:rsidRPr="00D25E70">
              <w:rPr>
                <w:rFonts w:ascii="Arial" w:hAnsi="Arial" w:cs="Arial"/>
                <w:szCs w:val="24"/>
              </w:rPr>
              <w:t xml:space="preserve"> </w:t>
            </w:r>
          </w:p>
        </w:tc>
        <w:tc>
          <w:tcPr>
            <w:tcW w:w="3036" w:type="pct"/>
            <w:shd w:val="clear" w:color="auto" w:fill="auto"/>
          </w:tcPr>
          <w:p w:rsidR="00023B92" w:rsidRPr="00D25E70" w:rsidRDefault="00BD3F2B" w:rsidP="00023B92">
            <w:pPr>
              <w:spacing w:before="60" w:after="60" w:line="288" w:lineRule="auto"/>
              <w:ind w:left="0" w:firstLine="0"/>
              <w:jc w:val="left"/>
              <w:rPr>
                <w:rFonts w:ascii="Arial" w:hAnsi="Arial" w:cs="Arial"/>
                <w:szCs w:val="24"/>
              </w:rPr>
            </w:pPr>
            <w:r>
              <w:rPr>
                <w:rFonts w:ascii="Arial" w:hAnsi="Arial" w:cs="Arial"/>
                <w:szCs w:val="24"/>
              </w:rPr>
              <w:t>Rerouting and data captured across one borough for collections. Additional data request for the next two boroughs for rerouting. Consistency detail has not been published but will be modelled across the Boroughs once available.</w:t>
            </w:r>
          </w:p>
        </w:tc>
        <w:tc>
          <w:tcPr>
            <w:tcW w:w="310" w:type="pct"/>
            <w:shd w:val="clear" w:color="auto" w:fill="A8D08D" w:themeFill="accent6" w:themeFillTint="99"/>
          </w:tcPr>
          <w:p w:rsidR="00023B92" w:rsidRPr="00D25E70" w:rsidRDefault="00FE38BA" w:rsidP="00023B92">
            <w:pPr>
              <w:spacing w:before="60" w:after="60" w:line="288" w:lineRule="auto"/>
              <w:ind w:left="0" w:firstLine="0"/>
              <w:jc w:val="left"/>
              <w:rPr>
                <w:rFonts w:ascii="Arial" w:hAnsi="Arial" w:cs="Arial"/>
                <w:szCs w:val="24"/>
              </w:rPr>
            </w:pPr>
            <w:r>
              <w:rPr>
                <w:rFonts w:ascii="Arial" w:hAnsi="Arial" w:cs="Arial"/>
                <w:szCs w:val="24"/>
              </w:rPr>
              <w:t>Green</w:t>
            </w:r>
          </w:p>
        </w:tc>
      </w:tr>
      <w:tr w:rsidR="00023B92" w:rsidRPr="00D25E70" w:rsidTr="00FE38BA">
        <w:tc>
          <w:tcPr>
            <w:tcW w:w="918"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Create a joint Extended Producer Responsibility Strategy with Boroughs</w:t>
            </w:r>
          </w:p>
        </w:tc>
        <w:tc>
          <w:tcPr>
            <w:tcW w:w="736" w:type="pct"/>
            <w:shd w:val="clear" w:color="auto" w:fill="auto"/>
          </w:tcPr>
          <w:p w:rsidR="00023B92" w:rsidRPr="00D25E70" w:rsidRDefault="00023B92"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3036" w:type="pct"/>
            <w:shd w:val="clear" w:color="auto" w:fill="auto"/>
          </w:tcPr>
          <w:p w:rsidR="00023B92" w:rsidRPr="00D25E70" w:rsidRDefault="00BD3F2B" w:rsidP="001D523B">
            <w:pPr>
              <w:spacing w:before="60" w:after="60" w:line="288" w:lineRule="auto"/>
              <w:ind w:left="0" w:firstLine="0"/>
              <w:jc w:val="left"/>
              <w:rPr>
                <w:rFonts w:ascii="Arial" w:hAnsi="Arial" w:cs="Arial"/>
                <w:szCs w:val="24"/>
              </w:rPr>
            </w:pPr>
            <w:r>
              <w:rPr>
                <w:rFonts w:ascii="Arial" w:hAnsi="Arial" w:cs="Arial"/>
                <w:szCs w:val="24"/>
              </w:rPr>
              <w:t>Six Borough agreement in principle on the MTFS for investment and development of infrastructure with additional income. EPR detail not available.</w:t>
            </w:r>
          </w:p>
        </w:tc>
        <w:tc>
          <w:tcPr>
            <w:tcW w:w="310" w:type="pct"/>
            <w:shd w:val="clear" w:color="auto" w:fill="C45911" w:themeFill="accent2" w:themeFillShade="BF"/>
          </w:tcPr>
          <w:p w:rsidR="00023B92"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 xml:space="preserve">Red </w:t>
            </w:r>
          </w:p>
        </w:tc>
      </w:tr>
    </w:tbl>
    <w:p w:rsidR="00A77013" w:rsidRDefault="00A77013" w:rsidP="001342E2">
      <w:pPr>
        <w:numPr>
          <w:ilvl w:val="1"/>
          <w:numId w:val="11"/>
        </w:numPr>
        <w:spacing w:before="60" w:after="60" w:line="288" w:lineRule="auto"/>
        <w:ind w:hanging="28"/>
        <w:rPr>
          <w:rFonts w:ascii="Arial" w:hAnsi="Arial" w:cs="Arial"/>
          <w:b/>
          <w:szCs w:val="24"/>
        </w:rPr>
      </w:pPr>
      <w:r>
        <w:rPr>
          <w:rFonts w:ascii="Arial" w:hAnsi="Arial" w:cs="Arial"/>
          <w:b/>
          <w:szCs w:val="24"/>
        </w:rPr>
        <w:lastRenderedPageBreak/>
        <w:t>Communicating the Vision</w:t>
      </w:r>
    </w:p>
    <w:p w:rsidR="00A77013" w:rsidRDefault="00A77013" w:rsidP="00A77013">
      <w:pPr>
        <w:spacing w:before="60" w:after="60" w:line="288" w:lineRule="auto"/>
        <w:ind w:left="879" w:firstLine="0"/>
        <w:rPr>
          <w:rFonts w:ascii="Arial" w:hAnsi="Arial" w:cs="Arial"/>
          <w:szCs w:val="24"/>
        </w:rPr>
      </w:pPr>
      <w:r>
        <w:rPr>
          <w:rFonts w:ascii="Arial" w:hAnsi="Arial" w:cs="Arial"/>
          <w:szCs w:val="24"/>
        </w:rPr>
        <w:t>WLWA must e</w:t>
      </w:r>
      <w:r w:rsidRPr="00F46EFD">
        <w:rPr>
          <w:rFonts w:ascii="Arial" w:hAnsi="Arial" w:cs="Arial"/>
          <w:szCs w:val="24"/>
        </w:rPr>
        <w:t>nsure the link between waste and climate is understood</w:t>
      </w:r>
      <w:r>
        <w:rPr>
          <w:rFonts w:ascii="Arial" w:hAnsi="Arial" w:cs="Arial"/>
          <w:szCs w:val="24"/>
        </w:rPr>
        <w:t>, b</w:t>
      </w:r>
      <w:r w:rsidRPr="00A77013">
        <w:rPr>
          <w:rFonts w:ascii="Arial" w:hAnsi="Arial" w:cs="Arial"/>
          <w:szCs w:val="24"/>
        </w:rPr>
        <w:t xml:space="preserve">uild partnerships, articulate what success looks like </w:t>
      </w:r>
      <w:r>
        <w:rPr>
          <w:rFonts w:ascii="Arial" w:hAnsi="Arial" w:cs="Arial"/>
          <w:szCs w:val="24"/>
        </w:rPr>
        <w:t>and d</w:t>
      </w:r>
      <w:r w:rsidRPr="00A77013">
        <w:rPr>
          <w:rFonts w:ascii="Arial" w:hAnsi="Arial" w:cs="Arial"/>
          <w:szCs w:val="24"/>
        </w:rPr>
        <w:t xml:space="preserve">iscuss the steps and challenges </w:t>
      </w:r>
      <w:r w:rsidR="00AD1475">
        <w:rPr>
          <w:rFonts w:ascii="Arial" w:hAnsi="Arial" w:cs="Arial"/>
          <w:szCs w:val="24"/>
        </w:rPr>
        <w:t xml:space="preserve">with Boroughs and supply chains </w:t>
      </w:r>
      <w:r w:rsidRPr="00A77013">
        <w:rPr>
          <w:rFonts w:ascii="Arial" w:hAnsi="Arial" w:cs="Arial"/>
          <w:szCs w:val="24"/>
        </w:rPr>
        <w:t>along the way.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9357"/>
        <w:gridCol w:w="955"/>
      </w:tblGrid>
      <w:tr w:rsidR="00FC693A" w:rsidRPr="00D25E70" w:rsidTr="002753D1">
        <w:tc>
          <w:tcPr>
            <w:tcW w:w="918" w:type="pct"/>
            <w:shd w:val="clear" w:color="auto" w:fill="auto"/>
          </w:tcPr>
          <w:p w:rsidR="00FC693A" w:rsidRPr="00D25E70" w:rsidRDefault="00FC693A" w:rsidP="00D25E70">
            <w:pPr>
              <w:spacing w:before="60" w:after="60" w:line="288" w:lineRule="auto"/>
              <w:ind w:left="0" w:firstLine="0"/>
              <w:rPr>
                <w:rFonts w:ascii="Arial" w:hAnsi="Arial" w:cs="Arial"/>
                <w:szCs w:val="24"/>
              </w:rPr>
            </w:pPr>
            <w:r w:rsidRPr="00D25E70">
              <w:rPr>
                <w:rFonts w:ascii="Arial" w:hAnsi="Arial" w:cs="Arial"/>
                <w:szCs w:val="24"/>
              </w:rPr>
              <w:t>Item</w:t>
            </w:r>
          </w:p>
        </w:tc>
        <w:tc>
          <w:tcPr>
            <w:tcW w:w="736" w:type="pct"/>
            <w:shd w:val="clear" w:color="auto" w:fill="auto"/>
          </w:tcPr>
          <w:p w:rsidR="00FC693A" w:rsidRPr="00D25E70" w:rsidRDefault="00FC693A" w:rsidP="00D25E70">
            <w:pPr>
              <w:spacing w:before="60" w:after="60" w:line="288" w:lineRule="auto"/>
              <w:ind w:left="0" w:firstLine="0"/>
              <w:rPr>
                <w:rFonts w:ascii="Arial" w:hAnsi="Arial" w:cs="Arial"/>
                <w:szCs w:val="24"/>
              </w:rPr>
            </w:pPr>
            <w:r w:rsidRPr="00D25E70">
              <w:rPr>
                <w:rFonts w:ascii="Arial" w:hAnsi="Arial" w:cs="Arial"/>
                <w:szCs w:val="24"/>
              </w:rPr>
              <w:t>Responsible Owner</w:t>
            </w:r>
          </w:p>
        </w:tc>
        <w:tc>
          <w:tcPr>
            <w:tcW w:w="3036" w:type="pct"/>
          </w:tcPr>
          <w:p w:rsidR="00FC693A" w:rsidRPr="00D25E70" w:rsidRDefault="00FC693A" w:rsidP="00D25E70">
            <w:pPr>
              <w:spacing w:before="60" w:after="60" w:line="288" w:lineRule="auto"/>
              <w:ind w:left="0" w:firstLine="0"/>
              <w:rPr>
                <w:rFonts w:ascii="Arial" w:hAnsi="Arial" w:cs="Arial"/>
                <w:szCs w:val="24"/>
              </w:rPr>
            </w:pPr>
            <w:r>
              <w:rPr>
                <w:rFonts w:ascii="Arial" w:hAnsi="Arial" w:cs="Arial"/>
                <w:szCs w:val="24"/>
              </w:rPr>
              <w:t>Progress to date</w:t>
            </w:r>
          </w:p>
        </w:tc>
        <w:tc>
          <w:tcPr>
            <w:tcW w:w="310" w:type="pct"/>
            <w:shd w:val="clear" w:color="auto" w:fill="auto"/>
          </w:tcPr>
          <w:p w:rsidR="00FC693A" w:rsidRPr="00D25E70" w:rsidRDefault="002753D1" w:rsidP="00D25E70">
            <w:pPr>
              <w:spacing w:before="60" w:after="60" w:line="288" w:lineRule="auto"/>
              <w:ind w:left="0" w:firstLine="0"/>
              <w:rPr>
                <w:rFonts w:ascii="Arial" w:hAnsi="Arial" w:cs="Arial"/>
                <w:szCs w:val="24"/>
              </w:rPr>
            </w:pPr>
            <w:r>
              <w:rPr>
                <w:rFonts w:ascii="Arial" w:hAnsi="Arial" w:cs="Arial"/>
                <w:szCs w:val="24"/>
              </w:rPr>
              <w:t>RAG</w:t>
            </w:r>
          </w:p>
        </w:tc>
      </w:tr>
      <w:tr w:rsidR="00FC693A" w:rsidRPr="00D25E70" w:rsidTr="00FE38BA">
        <w:tc>
          <w:tcPr>
            <w:tcW w:w="918"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Circular Economy Hub at Abbey Road</w:t>
            </w:r>
          </w:p>
        </w:tc>
        <w:tc>
          <w:tcPr>
            <w:tcW w:w="736"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3036" w:type="pct"/>
          </w:tcPr>
          <w:p w:rsidR="00FC693A" w:rsidRPr="00D25E70" w:rsidRDefault="00BD3F2B" w:rsidP="00FE38BA">
            <w:pPr>
              <w:spacing w:before="60" w:after="60" w:line="288" w:lineRule="auto"/>
              <w:ind w:left="0" w:firstLine="0"/>
              <w:jc w:val="left"/>
              <w:rPr>
                <w:rFonts w:ascii="Arial" w:hAnsi="Arial" w:cs="Arial"/>
                <w:szCs w:val="24"/>
              </w:rPr>
            </w:pPr>
            <w:r>
              <w:rPr>
                <w:rFonts w:ascii="Arial" w:hAnsi="Arial" w:cs="Arial"/>
                <w:szCs w:val="24"/>
              </w:rPr>
              <w:t xml:space="preserve">Completed for </w:t>
            </w:r>
            <w:proofErr w:type="spellStart"/>
            <w:r>
              <w:rPr>
                <w:rFonts w:ascii="Arial" w:hAnsi="Arial" w:cs="Arial"/>
                <w:szCs w:val="24"/>
              </w:rPr>
              <w:t>electricals</w:t>
            </w:r>
            <w:proofErr w:type="spellEnd"/>
            <w:r>
              <w:rPr>
                <w:rFonts w:ascii="Arial" w:hAnsi="Arial" w:cs="Arial"/>
                <w:szCs w:val="24"/>
              </w:rPr>
              <w:t>, workshops for bikes and capture of furniture.</w:t>
            </w:r>
            <w:r w:rsidR="00FE38BA">
              <w:rPr>
                <w:rFonts w:ascii="Arial" w:hAnsi="Arial" w:cs="Arial"/>
                <w:szCs w:val="24"/>
              </w:rPr>
              <w:t xml:space="preserve"> Additional bikes repaired and sold with Lets Go Southall for delivery back to the community. </w:t>
            </w:r>
          </w:p>
        </w:tc>
        <w:tc>
          <w:tcPr>
            <w:tcW w:w="310" w:type="pct"/>
            <w:shd w:val="clear" w:color="auto" w:fill="A8D08D" w:themeFill="accent6" w:themeFillTint="99"/>
          </w:tcPr>
          <w:p w:rsidR="00FC693A"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Green</w:t>
            </w:r>
          </w:p>
        </w:tc>
      </w:tr>
      <w:tr w:rsidR="00FC693A" w:rsidRPr="00D25E70" w:rsidTr="00FE38BA">
        <w:tc>
          <w:tcPr>
            <w:tcW w:w="918" w:type="pct"/>
            <w:shd w:val="clear" w:color="auto" w:fill="auto"/>
          </w:tcPr>
          <w:p w:rsidR="00FC693A" w:rsidRPr="00D25E70" w:rsidRDefault="00341CD8" w:rsidP="001C3B61">
            <w:pPr>
              <w:spacing w:before="60" w:after="60" w:line="288" w:lineRule="auto"/>
              <w:ind w:left="0" w:firstLine="0"/>
              <w:jc w:val="left"/>
              <w:rPr>
                <w:rFonts w:ascii="Arial" w:hAnsi="Arial" w:cs="Arial"/>
                <w:szCs w:val="24"/>
              </w:rPr>
            </w:pPr>
            <w:r>
              <w:rPr>
                <w:rFonts w:ascii="Arial" w:hAnsi="Arial" w:cs="Arial"/>
                <w:szCs w:val="24"/>
              </w:rPr>
              <w:t>Borough</w:t>
            </w:r>
            <w:r w:rsidR="00FC693A" w:rsidRPr="00D25E70">
              <w:rPr>
                <w:rFonts w:ascii="Arial" w:hAnsi="Arial" w:cs="Arial"/>
                <w:szCs w:val="24"/>
              </w:rPr>
              <w:t xml:space="preserve"> Circular Economy Hub</w:t>
            </w:r>
          </w:p>
        </w:tc>
        <w:tc>
          <w:tcPr>
            <w:tcW w:w="736"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Projects Director</w:t>
            </w:r>
          </w:p>
        </w:tc>
        <w:tc>
          <w:tcPr>
            <w:tcW w:w="3036" w:type="pct"/>
          </w:tcPr>
          <w:p w:rsidR="00341CD8" w:rsidRPr="00D25E70" w:rsidRDefault="00BD3F2B" w:rsidP="00FE38BA">
            <w:pPr>
              <w:spacing w:before="60" w:after="60" w:line="288" w:lineRule="auto"/>
              <w:ind w:left="0" w:firstLine="0"/>
              <w:jc w:val="left"/>
              <w:rPr>
                <w:rFonts w:ascii="Arial" w:hAnsi="Arial" w:cs="Arial"/>
                <w:szCs w:val="24"/>
              </w:rPr>
            </w:pPr>
            <w:r>
              <w:rPr>
                <w:rFonts w:ascii="Arial" w:hAnsi="Arial" w:cs="Arial"/>
                <w:szCs w:val="24"/>
              </w:rPr>
              <w:t>Design and draft business case</w:t>
            </w:r>
            <w:r w:rsidR="00FE38BA">
              <w:rPr>
                <w:rFonts w:ascii="Arial" w:hAnsi="Arial" w:cs="Arial"/>
                <w:szCs w:val="24"/>
              </w:rPr>
              <w:t>s.</w:t>
            </w:r>
            <w:r w:rsidR="001D523B">
              <w:rPr>
                <w:rFonts w:ascii="Arial" w:hAnsi="Arial" w:cs="Arial"/>
                <w:szCs w:val="24"/>
              </w:rPr>
              <w:t xml:space="preserve">  No site available.</w:t>
            </w:r>
          </w:p>
        </w:tc>
        <w:tc>
          <w:tcPr>
            <w:tcW w:w="310" w:type="pct"/>
            <w:shd w:val="clear" w:color="auto" w:fill="C45911" w:themeFill="accent2" w:themeFillShade="BF"/>
          </w:tcPr>
          <w:p w:rsidR="00FC693A" w:rsidRPr="00D25E70" w:rsidRDefault="00FE38BA" w:rsidP="00341CD8">
            <w:pPr>
              <w:spacing w:before="60" w:after="60" w:line="288" w:lineRule="auto"/>
              <w:ind w:left="0" w:firstLine="0"/>
              <w:jc w:val="left"/>
              <w:rPr>
                <w:rFonts w:ascii="Arial" w:hAnsi="Arial" w:cs="Arial"/>
                <w:szCs w:val="24"/>
              </w:rPr>
            </w:pPr>
            <w:r>
              <w:rPr>
                <w:rFonts w:ascii="Arial" w:hAnsi="Arial" w:cs="Arial"/>
                <w:szCs w:val="24"/>
              </w:rPr>
              <w:t>Red</w:t>
            </w:r>
          </w:p>
        </w:tc>
      </w:tr>
      <w:tr w:rsidR="00FC693A" w:rsidRPr="00D25E70" w:rsidTr="00FE38BA">
        <w:tc>
          <w:tcPr>
            <w:tcW w:w="918"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Create a virtual circular economy hub</w:t>
            </w:r>
          </w:p>
        </w:tc>
        <w:tc>
          <w:tcPr>
            <w:tcW w:w="736"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3036" w:type="pct"/>
          </w:tcPr>
          <w:p w:rsidR="00FC693A" w:rsidRPr="00D25E70" w:rsidRDefault="00A877C0" w:rsidP="001D523B">
            <w:pPr>
              <w:spacing w:before="60" w:after="60" w:line="288" w:lineRule="auto"/>
              <w:ind w:left="0" w:firstLine="0"/>
              <w:jc w:val="left"/>
              <w:rPr>
                <w:rFonts w:ascii="Arial" w:hAnsi="Arial" w:cs="Arial"/>
                <w:szCs w:val="24"/>
              </w:rPr>
            </w:pPr>
            <w:r>
              <w:rPr>
                <w:rFonts w:ascii="Arial" w:hAnsi="Arial" w:cs="Arial"/>
                <w:szCs w:val="24"/>
              </w:rPr>
              <w:t>N</w:t>
            </w:r>
            <w:r w:rsidR="00144E2C">
              <w:rPr>
                <w:rFonts w:ascii="Arial" w:hAnsi="Arial" w:cs="Arial"/>
                <w:szCs w:val="24"/>
              </w:rPr>
              <w:t xml:space="preserve">ew website </w:t>
            </w:r>
            <w:r>
              <w:rPr>
                <w:rFonts w:ascii="Arial" w:hAnsi="Arial" w:cs="Arial"/>
                <w:szCs w:val="24"/>
              </w:rPr>
              <w:t xml:space="preserve">launched </w:t>
            </w:r>
            <w:r w:rsidR="00FE38BA">
              <w:rPr>
                <w:rFonts w:ascii="Arial" w:hAnsi="Arial" w:cs="Arial"/>
                <w:szCs w:val="24"/>
              </w:rPr>
              <w:t>in June now</w:t>
            </w:r>
            <w:r w:rsidR="00BD3F2B">
              <w:rPr>
                <w:rFonts w:ascii="Arial" w:hAnsi="Arial" w:cs="Arial"/>
                <w:szCs w:val="24"/>
              </w:rPr>
              <w:t xml:space="preserve"> has a CE page with local circular economy related information. Draft business directory </w:t>
            </w:r>
            <w:bookmarkStart w:id="0" w:name="_GoBack"/>
            <w:bookmarkEnd w:id="0"/>
            <w:r w:rsidR="00BD3F2B">
              <w:rPr>
                <w:rFonts w:ascii="Arial" w:hAnsi="Arial" w:cs="Arial"/>
                <w:szCs w:val="24"/>
              </w:rPr>
              <w:t>for website integration/page design outstanding.</w:t>
            </w:r>
          </w:p>
        </w:tc>
        <w:tc>
          <w:tcPr>
            <w:tcW w:w="310" w:type="pct"/>
            <w:shd w:val="clear" w:color="auto" w:fill="FFD966" w:themeFill="accent4" w:themeFillTint="99"/>
          </w:tcPr>
          <w:p w:rsidR="00FC693A"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Amber</w:t>
            </w:r>
          </w:p>
        </w:tc>
      </w:tr>
      <w:tr w:rsidR="00FC693A" w:rsidRPr="00D25E70" w:rsidTr="00FE38BA">
        <w:tc>
          <w:tcPr>
            <w:tcW w:w="918"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Lead WLWA Strategy Away Days</w:t>
            </w:r>
          </w:p>
        </w:tc>
        <w:tc>
          <w:tcPr>
            <w:tcW w:w="736"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Head of Service Delivery</w:t>
            </w:r>
          </w:p>
        </w:tc>
        <w:tc>
          <w:tcPr>
            <w:tcW w:w="3036" w:type="pct"/>
          </w:tcPr>
          <w:p w:rsidR="00FC693A" w:rsidRPr="00D25E70" w:rsidRDefault="00BD7B03" w:rsidP="001C3B61">
            <w:pPr>
              <w:spacing w:before="60" w:after="60" w:line="288" w:lineRule="auto"/>
              <w:ind w:left="0" w:firstLine="0"/>
              <w:jc w:val="left"/>
              <w:rPr>
                <w:rFonts w:ascii="Arial" w:hAnsi="Arial" w:cs="Arial"/>
                <w:szCs w:val="24"/>
              </w:rPr>
            </w:pPr>
            <w:r>
              <w:rPr>
                <w:rFonts w:ascii="Arial" w:hAnsi="Arial" w:cs="Arial"/>
                <w:szCs w:val="24"/>
              </w:rPr>
              <w:t>First strategy away day delivered on 25 March leading to the framework of a joint plan to 2030.</w:t>
            </w:r>
          </w:p>
        </w:tc>
        <w:tc>
          <w:tcPr>
            <w:tcW w:w="310" w:type="pct"/>
            <w:shd w:val="clear" w:color="auto" w:fill="A8D08D" w:themeFill="accent6" w:themeFillTint="99"/>
          </w:tcPr>
          <w:p w:rsidR="00FC693A"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Green</w:t>
            </w:r>
          </w:p>
        </w:tc>
      </w:tr>
      <w:tr w:rsidR="00FC693A" w:rsidRPr="00D25E70" w:rsidTr="00FE38BA">
        <w:tc>
          <w:tcPr>
            <w:tcW w:w="918"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Procure a communications project to measure baseline and improve levels of understanding in West London of the link between climate emergency, waste and resources.</w:t>
            </w:r>
          </w:p>
        </w:tc>
        <w:tc>
          <w:tcPr>
            <w:tcW w:w="736" w:type="pct"/>
            <w:shd w:val="clear" w:color="auto" w:fill="auto"/>
          </w:tcPr>
          <w:p w:rsidR="00FC693A" w:rsidRPr="00D25E70" w:rsidRDefault="00FC693A" w:rsidP="001C3B61">
            <w:pPr>
              <w:spacing w:before="60" w:after="60" w:line="288" w:lineRule="auto"/>
              <w:ind w:left="0" w:firstLine="0"/>
              <w:jc w:val="left"/>
              <w:rPr>
                <w:rFonts w:ascii="Arial" w:hAnsi="Arial" w:cs="Arial"/>
                <w:szCs w:val="24"/>
              </w:rPr>
            </w:pPr>
            <w:r w:rsidRPr="00D25E70">
              <w:rPr>
                <w:rFonts w:ascii="Arial" w:hAnsi="Arial" w:cs="Arial"/>
                <w:szCs w:val="24"/>
              </w:rPr>
              <w:t>Net Zero Carbon Manager</w:t>
            </w:r>
          </w:p>
        </w:tc>
        <w:tc>
          <w:tcPr>
            <w:tcW w:w="3036" w:type="pct"/>
          </w:tcPr>
          <w:p w:rsidR="00FC693A" w:rsidRPr="00D25E70" w:rsidRDefault="00BD3F2B" w:rsidP="00A877C0">
            <w:pPr>
              <w:spacing w:before="60" w:after="60" w:line="288" w:lineRule="auto"/>
              <w:ind w:left="0" w:firstLine="0"/>
              <w:jc w:val="left"/>
              <w:rPr>
                <w:rFonts w:ascii="Arial" w:hAnsi="Arial" w:cs="Arial"/>
                <w:szCs w:val="24"/>
              </w:rPr>
            </w:pPr>
            <w:r>
              <w:rPr>
                <w:rFonts w:ascii="Arial" w:hAnsi="Arial" w:cs="Arial"/>
                <w:szCs w:val="24"/>
              </w:rPr>
              <w:t>Soft market testing completed and options for the procurement model/route and evaluation in draft.</w:t>
            </w:r>
          </w:p>
        </w:tc>
        <w:tc>
          <w:tcPr>
            <w:tcW w:w="310" w:type="pct"/>
            <w:shd w:val="clear" w:color="auto" w:fill="FFD966" w:themeFill="accent4" w:themeFillTint="99"/>
          </w:tcPr>
          <w:p w:rsidR="00FC693A" w:rsidRPr="00D25E70" w:rsidRDefault="00FE38BA" w:rsidP="001C3B61">
            <w:pPr>
              <w:spacing w:before="60" w:after="60" w:line="288" w:lineRule="auto"/>
              <w:ind w:left="0" w:firstLine="0"/>
              <w:jc w:val="left"/>
              <w:rPr>
                <w:rFonts w:ascii="Arial" w:hAnsi="Arial" w:cs="Arial"/>
                <w:szCs w:val="24"/>
              </w:rPr>
            </w:pPr>
            <w:r>
              <w:rPr>
                <w:rFonts w:ascii="Arial" w:hAnsi="Arial" w:cs="Arial"/>
                <w:szCs w:val="24"/>
              </w:rPr>
              <w:t>Amber</w:t>
            </w:r>
          </w:p>
        </w:tc>
      </w:tr>
    </w:tbl>
    <w:p w:rsidR="00A77013" w:rsidRPr="007B1686" w:rsidRDefault="00A77013" w:rsidP="00A77013">
      <w:pPr>
        <w:spacing w:before="60" w:after="60" w:line="288" w:lineRule="auto"/>
        <w:ind w:left="879" w:firstLine="0"/>
        <w:rPr>
          <w:rFonts w:ascii="Arial" w:hAnsi="Arial" w:cs="Arial"/>
          <w:szCs w:val="24"/>
        </w:rPr>
      </w:pPr>
    </w:p>
    <w:sectPr w:rsidR="00A77013" w:rsidRPr="007B1686" w:rsidSect="00A24EBB">
      <w:pgSz w:w="16838" w:h="11906" w:orient="landscape"/>
      <w:pgMar w:top="851" w:right="851" w:bottom="851" w:left="567"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2B" w:rsidRDefault="00B7002B">
      <w:r>
        <w:separator/>
      </w:r>
    </w:p>
  </w:endnote>
  <w:endnote w:type="continuationSeparator" w:id="0">
    <w:p w:rsidR="00B7002B" w:rsidRDefault="00B7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2B" w:rsidRDefault="00B7002B">
      <w:r>
        <w:separator/>
      </w:r>
    </w:p>
  </w:footnote>
  <w:footnote w:type="continuationSeparator" w:id="0">
    <w:p w:rsidR="00B7002B" w:rsidRDefault="00B7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8" w:type="dxa"/>
      <w:tblInd w:w="-252" w:type="dxa"/>
      <w:tblLook w:val="01E0" w:firstRow="1" w:lastRow="1" w:firstColumn="1" w:lastColumn="1" w:noHBand="0" w:noVBand="0"/>
    </w:tblPr>
    <w:tblGrid>
      <w:gridCol w:w="6390"/>
      <w:gridCol w:w="4318"/>
    </w:tblGrid>
    <w:tr w:rsidR="00DE77FD" w:rsidRPr="002B3214" w:rsidTr="000F4819">
      <w:trPr>
        <w:trHeight w:val="284"/>
      </w:trPr>
      <w:tc>
        <w:tcPr>
          <w:tcW w:w="6390" w:type="dxa"/>
        </w:tcPr>
        <w:p w:rsidR="00DE77FD" w:rsidRPr="002B3214" w:rsidRDefault="00DE77FD">
          <w:pPr>
            <w:pStyle w:val="Header"/>
            <w:rPr>
              <w:rFonts w:ascii="Arial" w:hAnsi="Arial" w:cs="Arial"/>
              <w:b/>
              <w:sz w:val="32"/>
            </w:rPr>
          </w:pPr>
        </w:p>
      </w:tc>
      <w:tc>
        <w:tcPr>
          <w:tcW w:w="4318" w:type="dxa"/>
          <w:vAlign w:val="center"/>
        </w:tcPr>
        <w:p w:rsidR="00DE77FD" w:rsidRPr="000F4819" w:rsidRDefault="00DE77F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rsidR="00DE77FD" w:rsidRPr="00F92E8C" w:rsidRDefault="00DE77F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96F0663"/>
    <w:multiLevelType w:val="hybridMultilevel"/>
    <w:tmpl w:val="DEE8E53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17F415FB"/>
    <w:multiLevelType w:val="hybridMultilevel"/>
    <w:tmpl w:val="D53E443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8455068"/>
    <w:multiLevelType w:val="hybridMultilevel"/>
    <w:tmpl w:val="FBB6FAB4"/>
    <w:lvl w:ilvl="0" w:tplc="8D9067FE">
      <w:start w:val="1"/>
      <w:numFmt w:val="decimal"/>
      <w:lvlText w:val="%1."/>
      <w:lvlJc w:val="left"/>
      <w:pPr>
        <w:tabs>
          <w:tab w:val="num" w:pos="720"/>
        </w:tabs>
        <w:ind w:left="720" w:hanging="360"/>
      </w:pPr>
    </w:lvl>
    <w:lvl w:ilvl="1" w:tplc="FC96D2BC" w:tentative="1">
      <w:start w:val="1"/>
      <w:numFmt w:val="decimal"/>
      <w:lvlText w:val="%2."/>
      <w:lvlJc w:val="left"/>
      <w:pPr>
        <w:tabs>
          <w:tab w:val="num" w:pos="1440"/>
        </w:tabs>
        <w:ind w:left="1440" w:hanging="360"/>
      </w:pPr>
    </w:lvl>
    <w:lvl w:ilvl="2" w:tplc="08B8DF9C" w:tentative="1">
      <w:start w:val="1"/>
      <w:numFmt w:val="decimal"/>
      <w:lvlText w:val="%3."/>
      <w:lvlJc w:val="left"/>
      <w:pPr>
        <w:tabs>
          <w:tab w:val="num" w:pos="2160"/>
        </w:tabs>
        <w:ind w:left="2160" w:hanging="360"/>
      </w:pPr>
    </w:lvl>
    <w:lvl w:ilvl="3" w:tplc="F7DA0F7C" w:tentative="1">
      <w:start w:val="1"/>
      <w:numFmt w:val="decimal"/>
      <w:lvlText w:val="%4."/>
      <w:lvlJc w:val="left"/>
      <w:pPr>
        <w:tabs>
          <w:tab w:val="num" w:pos="2880"/>
        </w:tabs>
        <w:ind w:left="2880" w:hanging="360"/>
      </w:pPr>
    </w:lvl>
    <w:lvl w:ilvl="4" w:tplc="44C6B3E2" w:tentative="1">
      <w:start w:val="1"/>
      <w:numFmt w:val="decimal"/>
      <w:lvlText w:val="%5."/>
      <w:lvlJc w:val="left"/>
      <w:pPr>
        <w:tabs>
          <w:tab w:val="num" w:pos="3600"/>
        </w:tabs>
        <w:ind w:left="3600" w:hanging="360"/>
      </w:pPr>
    </w:lvl>
    <w:lvl w:ilvl="5" w:tplc="585C5DDC" w:tentative="1">
      <w:start w:val="1"/>
      <w:numFmt w:val="decimal"/>
      <w:lvlText w:val="%6."/>
      <w:lvlJc w:val="left"/>
      <w:pPr>
        <w:tabs>
          <w:tab w:val="num" w:pos="4320"/>
        </w:tabs>
        <w:ind w:left="4320" w:hanging="360"/>
      </w:pPr>
    </w:lvl>
    <w:lvl w:ilvl="6" w:tplc="1B087A60" w:tentative="1">
      <w:start w:val="1"/>
      <w:numFmt w:val="decimal"/>
      <w:lvlText w:val="%7."/>
      <w:lvlJc w:val="left"/>
      <w:pPr>
        <w:tabs>
          <w:tab w:val="num" w:pos="5040"/>
        </w:tabs>
        <w:ind w:left="5040" w:hanging="360"/>
      </w:pPr>
    </w:lvl>
    <w:lvl w:ilvl="7" w:tplc="3842CBC4" w:tentative="1">
      <w:start w:val="1"/>
      <w:numFmt w:val="decimal"/>
      <w:lvlText w:val="%8."/>
      <w:lvlJc w:val="left"/>
      <w:pPr>
        <w:tabs>
          <w:tab w:val="num" w:pos="5760"/>
        </w:tabs>
        <w:ind w:left="5760" w:hanging="360"/>
      </w:pPr>
    </w:lvl>
    <w:lvl w:ilvl="8" w:tplc="91A4D156" w:tentative="1">
      <w:start w:val="1"/>
      <w:numFmt w:val="decimal"/>
      <w:lvlText w:val="%9."/>
      <w:lvlJc w:val="left"/>
      <w:pPr>
        <w:tabs>
          <w:tab w:val="num" w:pos="6480"/>
        </w:tabs>
        <w:ind w:left="6480" w:hanging="360"/>
      </w:pPr>
    </w:lvl>
  </w:abstractNum>
  <w:abstractNum w:abstractNumId="4" w15:restartNumberingAfterBreak="0">
    <w:nsid w:val="2928185C"/>
    <w:multiLevelType w:val="hybridMultilevel"/>
    <w:tmpl w:val="4C468F94"/>
    <w:lvl w:ilvl="0" w:tplc="B1BE5132">
      <w:start w:val="1"/>
      <w:numFmt w:val="decimal"/>
      <w:lvlText w:val="%1."/>
      <w:lvlJc w:val="left"/>
      <w:pPr>
        <w:tabs>
          <w:tab w:val="num" w:pos="720"/>
        </w:tabs>
        <w:ind w:left="720" w:hanging="360"/>
      </w:pPr>
    </w:lvl>
    <w:lvl w:ilvl="1" w:tplc="5E60021C" w:tentative="1">
      <w:start w:val="1"/>
      <w:numFmt w:val="decimal"/>
      <w:lvlText w:val="%2."/>
      <w:lvlJc w:val="left"/>
      <w:pPr>
        <w:tabs>
          <w:tab w:val="num" w:pos="1440"/>
        </w:tabs>
        <w:ind w:left="1440" w:hanging="360"/>
      </w:pPr>
    </w:lvl>
    <w:lvl w:ilvl="2" w:tplc="6E648266" w:tentative="1">
      <w:start w:val="1"/>
      <w:numFmt w:val="decimal"/>
      <w:lvlText w:val="%3."/>
      <w:lvlJc w:val="left"/>
      <w:pPr>
        <w:tabs>
          <w:tab w:val="num" w:pos="2160"/>
        </w:tabs>
        <w:ind w:left="2160" w:hanging="360"/>
      </w:pPr>
    </w:lvl>
    <w:lvl w:ilvl="3" w:tplc="E6889E50" w:tentative="1">
      <w:start w:val="1"/>
      <w:numFmt w:val="decimal"/>
      <w:lvlText w:val="%4."/>
      <w:lvlJc w:val="left"/>
      <w:pPr>
        <w:tabs>
          <w:tab w:val="num" w:pos="2880"/>
        </w:tabs>
        <w:ind w:left="2880" w:hanging="360"/>
      </w:pPr>
    </w:lvl>
    <w:lvl w:ilvl="4" w:tplc="FDFEC17C" w:tentative="1">
      <w:start w:val="1"/>
      <w:numFmt w:val="decimal"/>
      <w:lvlText w:val="%5."/>
      <w:lvlJc w:val="left"/>
      <w:pPr>
        <w:tabs>
          <w:tab w:val="num" w:pos="3600"/>
        </w:tabs>
        <w:ind w:left="3600" w:hanging="360"/>
      </w:pPr>
    </w:lvl>
    <w:lvl w:ilvl="5" w:tplc="3EDE5E96" w:tentative="1">
      <w:start w:val="1"/>
      <w:numFmt w:val="decimal"/>
      <w:lvlText w:val="%6."/>
      <w:lvlJc w:val="left"/>
      <w:pPr>
        <w:tabs>
          <w:tab w:val="num" w:pos="4320"/>
        </w:tabs>
        <w:ind w:left="4320" w:hanging="360"/>
      </w:pPr>
    </w:lvl>
    <w:lvl w:ilvl="6" w:tplc="1FC657CE" w:tentative="1">
      <w:start w:val="1"/>
      <w:numFmt w:val="decimal"/>
      <w:lvlText w:val="%7."/>
      <w:lvlJc w:val="left"/>
      <w:pPr>
        <w:tabs>
          <w:tab w:val="num" w:pos="5040"/>
        </w:tabs>
        <w:ind w:left="5040" w:hanging="360"/>
      </w:pPr>
    </w:lvl>
    <w:lvl w:ilvl="7" w:tplc="EF08A1A6" w:tentative="1">
      <w:start w:val="1"/>
      <w:numFmt w:val="decimal"/>
      <w:lvlText w:val="%8."/>
      <w:lvlJc w:val="left"/>
      <w:pPr>
        <w:tabs>
          <w:tab w:val="num" w:pos="5760"/>
        </w:tabs>
        <w:ind w:left="5760" w:hanging="360"/>
      </w:pPr>
    </w:lvl>
    <w:lvl w:ilvl="8" w:tplc="C832C3F6" w:tentative="1">
      <w:start w:val="1"/>
      <w:numFmt w:val="decimal"/>
      <w:lvlText w:val="%9."/>
      <w:lvlJc w:val="left"/>
      <w:pPr>
        <w:tabs>
          <w:tab w:val="num" w:pos="6480"/>
        </w:tabs>
        <w:ind w:left="6480" w:hanging="360"/>
      </w:pPr>
    </w:lvl>
  </w:abstractNum>
  <w:abstractNum w:abstractNumId="5" w15:restartNumberingAfterBreak="0">
    <w:nsid w:val="336A1D03"/>
    <w:multiLevelType w:val="hybridMultilevel"/>
    <w:tmpl w:val="532E9C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AA17472"/>
    <w:multiLevelType w:val="hybridMultilevel"/>
    <w:tmpl w:val="7D0225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99E7D57"/>
    <w:multiLevelType w:val="hybridMultilevel"/>
    <w:tmpl w:val="95AA1CD4"/>
    <w:lvl w:ilvl="0" w:tplc="DAFCB24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8"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17740"/>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5FD52E97"/>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2" w15:restartNumberingAfterBreak="0">
    <w:nsid w:val="6A6B4EC9"/>
    <w:multiLevelType w:val="hybridMultilevel"/>
    <w:tmpl w:val="6A34E776"/>
    <w:lvl w:ilvl="0" w:tplc="4646405A">
      <w:start w:val="1"/>
      <w:numFmt w:val="decimal"/>
      <w:lvlText w:val="%1."/>
      <w:lvlJc w:val="left"/>
      <w:pPr>
        <w:tabs>
          <w:tab w:val="num" w:pos="720"/>
        </w:tabs>
        <w:ind w:left="720" w:hanging="360"/>
      </w:pPr>
    </w:lvl>
    <w:lvl w:ilvl="1" w:tplc="1CCCFD24" w:tentative="1">
      <w:start w:val="1"/>
      <w:numFmt w:val="decimal"/>
      <w:lvlText w:val="%2."/>
      <w:lvlJc w:val="left"/>
      <w:pPr>
        <w:tabs>
          <w:tab w:val="num" w:pos="1440"/>
        </w:tabs>
        <w:ind w:left="1440" w:hanging="360"/>
      </w:pPr>
    </w:lvl>
    <w:lvl w:ilvl="2" w:tplc="FDDA2F08" w:tentative="1">
      <w:start w:val="1"/>
      <w:numFmt w:val="decimal"/>
      <w:lvlText w:val="%3."/>
      <w:lvlJc w:val="left"/>
      <w:pPr>
        <w:tabs>
          <w:tab w:val="num" w:pos="2160"/>
        </w:tabs>
        <w:ind w:left="2160" w:hanging="360"/>
      </w:pPr>
    </w:lvl>
    <w:lvl w:ilvl="3" w:tplc="A7C857F0" w:tentative="1">
      <w:start w:val="1"/>
      <w:numFmt w:val="decimal"/>
      <w:lvlText w:val="%4."/>
      <w:lvlJc w:val="left"/>
      <w:pPr>
        <w:tabs>
          <w:tab w:val="num" w:pos="2880"/>
        </w:tabs>
        <w:ind w:left="2880" w:hanging="360"/>
      </w:pPr>
    </w:lvl>
    <w:lvl w:ilvl="4" w:tplc="F0602B9C" w:tentative="1">
      <w:start w:val="1"/>
      <w:numFmt w:val="decimal"/>
      <w:lvlText w:val="%5."/>
      <w:lvlJc w:val="left"/>
      <w:pPr>
        <w:tabs>
          <w:tab w:val="num" w:pos="3600"/>
        </w:tabs>
        <w:ind w:left="3600" w:hanging="360"/>
      </w:pPr>
    </w:lvl>
    <w:lvl w:ilvl="5" w:tplc="60E4805E" w:tentative="1">
      <w:start w:val="1"/>
      <w:numFmt w:val="decimal"/>
      <w:lvlText w:val="%6."/>
      <w:lvlJc w:val="left"/>
      <w:pPr>
        <w:tabs>
          <w:tab w:val="num" w:pos="4320"/>
        </w:tabs>
        <w:ind w:left="4320" w:hanging="360"/>
      </w:pPr>
    </w:lvl>
    <w:lvl w:ilvl="6" w:tplc="39002188" w:tentative="1">
      <w:start w:val="1"/>
      <w:numFmt w:val="decimal"/>
      <w:lvlText w:val="%7."/>
      <w:lvlJc w:val="left"/>
      <w:pPr>
        <w:tabs>
          <w:tab w:val="num" w:pos="5040"/>
        </w:tabs>
        <w:ind w:left="5040" w:hanging="360"/>
      </w:pPr>
    </w:lvl>
    <w:lvl w:ilvl="7" w:tplc="AA424E52" w:tentative="1">
      <w:start w:val="1"/>
      <w:numFmt w:val="decimal"/>
      <w:lvlText w:val="%8."/>
      <w:lvlJc w:val="left"/>
      <w:pPr>
        <w:tabs>
          <w:tab w:val="num" w:pos="5760"/>
        </w:tabs>
        <w:ind w:left="5760" w:hanging="360"/>
      </w:pPr>
    </w:lvl>
    <w:lvl w:ilvl="8" w:tplc="F26A91CE" w:tentative="1">
      <w:start w:val="1"/>
      <w:numFmt w:val="decimal"/>
      <w:lvlText w:val="%9."/>
      <w:lvlJc w:val="left"/>
      <w:pPr>
        <w:tabs>
          <w:tab w:val="num" w:pos="6480"/>
        </w:tabs>
        <w:ind w:left="6480" w:hanging="360"/>
      </w:pPr>
    </w:lvl>
  </w:abstractNum>
  <w:abstractNum w:abstractNumId="13"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F4EB8"/>
    <w:multiLevelType w:val="multilevel"/>
    <w:tmpl w:val="33AEEC98"/>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6" w15:restartNumberingAfterBreak="0">
    <w:nsid w:val="7A0E4B62"/>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14"/>
  </w:num>
  <w:num w:numId="3">
    <w:abstractNumId w:val="11"/>
  </w:num>
  <w:num w:numId="4">
    <w:abstractNumId w:val="13"/>
  </w:num>
  <w:num w:numId="5">
    <w:abstractNumId w:val="8"/>
  </w:num>
  <w:num w:numId="6">
    <w:abstractNumId w:val="1"/>
  </w:num>
  <w:num w:numId="7">
    <w:abstractNumId w:val="10"/>
  </w:num>
  <w:num w:numId="8">
    <w:abstractNumId w:val="3"/>
  </w:num>
  <w:num w:numId="9">
    <w:abstractNumId w:val="4"/>
  </w:num>
  <w:num w:numId="10">
    <w:abstractNumId w:val="12"/>
  </w:num>
  <w:num w:numId="11">
    <w:abstractNumId w:val="9"/>
  </w:num>
  <w:num w:numId="12">
    <w:abstractNumId w:val="6"/>
  </w:num>
  <w:num w:numId="13">
    <w:abstractNumId w:val="16"/>
  </w:num>
  <w:num w:numId="14">
    <w:abstractNumId w:val="7"/>
  </w:num>
  <w:num w:numId="15">
    <w:abstractNumId w:val="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AxNDO0NLY0NDNR0lEKTi0uzszPAykwrAUAWWAh8CwAAAA="/>
  </w:docVars>
  <w:rsids>
    <w:rsidRoot w:val="005771DA"/>
    <w:rsid w:val="00000CB6"/>
    <w:rsid w:val="00004122"/>
    <w:rsid w:val="000041C1"/>
    <w:rsid w:val="00006DB8"/>
    <w:rsid w:val="00006DE1"/>
    <w:rsid w:val="00006FE3"/>
    <w:rsid w:val="00010567"/>
    <w:rsid w:val="00011E40"/>
    <w:rsid w:val="00013985"/>
    <w:rsid w:val="00014268"/>
    <w:rsid w:val="000148E6"/>
    <w:rsid w:val="00016FA7"/>
    <w:rsid w:val="0002010D"/>
    <w:rsid w:val="0002130E"/>
    <w:rsid w:val="00021935"/>
    <w:rsid w:val="00021B36"/>
    <w:rsid w:val="00022574"/>
    <w:rsid w:val="000227FE"/>
    <w:rsid w:val="000229AD"/>
    <w:rsid w:val="00022BE9"/>
    <w:rsid w:val="00022FBC"/>
    <w:rsid w:val="000231E6"/>
    <w:rsid w:val="00023868"/>
    <w:rsid w:val="00023B92"/>
    <w:rsid w:val="000247A9"/>
    <w:rsid w:val="00024ED4"/>
    <w:rsid w:val="0002515E"/>
    <w:rsid w:val="00026186"/>
    <w:rsid w:val="000307A5"/>
    <w:rsid w:val="00030B5D"/>
    <w:rsid w:val="000325E1"/>
    <w:rsid w:val="00034B83"/>
    <w:rsid w:val="00035123"/>
    <w:rsid w:val="00036475"/>
    <w:rsid w:val="000364C3"/>
    <w:rsid w:val="00036BB3"/>
    <w:rsid w:val="00036ED4"/>
    <w:rsid w:val="000379CF"/>
    <w:rsid w:val="00040377"/>
    <w:rsid w:val="0004157D"/>
    <w:rsid w:val="0004200F"/>
    <w:rsid w:val="00042171"/>
    <w:rsid w:val="00047D3A"/>
    <w:rsid w:val="00050BD6"/>
    <w:rsid w:val="00051869"/>
    <w:rsid w:val="00051B59"/>
    <w:rsid w:val="000524B1"/>
    <w:rsid w:val="00055226"/>
    <w:rsid w:val="0005584C"/>
    <w:rsid w:val="00056463"/>
    <w:rsid w:val="00057672"/>
    <w:rsid w:val="00061CD5"/>
    <w:rsid w:val="000661DA"/>
    <w:rsid w:val="00070E99"/>
    <w:rsid w:val="000721D3"/>
    <w:rsid w:val="00073650"/>
    <w:rsid w:val="00073A0D"/>
    <w:rsid w:val="00073F50"/>
    <w:rsid w:val="00075E1E"/>
    <w:rsid w:val="00077FD9"/>
    <w:rsid w:val="00081574"/>
    <w:rsid w:val="0008343E"/>
    <w:rsid w:val="00083A87"/>
    <w:rsid w:val="00083E6C"/>
    <w:rsid w:val="000854F1"/>
    <w:rsid w:val="00086BBB"/>
    <w:rsid w:val="00087CC0"/>
    <w:rsid w:val="00087E76"/>
    <w:rsid w:val="00091AF4"/>
    <w:rsid w:val="000922AA"/>
    <w:rsid w:val="00092935"/>
    <w:rsid w:val="00093D50"/>
    <w:rsid w:val="0009492F"/>
    <w:rsid w:val="00094C3C"/>
    <w:rsid w:val="00095E08"/>
    <w:rsid w:val="00097D76"/>
    <w:rsid w:val="000A00F2"/>
    <w:rsid w:val="000A03F7"/>
    <w:rsid w:val="000A20CA"/>
    <w:rsid w:val="000A6544"/>
    <w:rsid w:val="000B010A"/>
    <w:rsid w:val="000B0968"/>
    <w:rsid w:val="000B1523"/>
    <w:rsid w:val="000B2507"/>
    <w:rsid w:val="000B2BA8"/>
    <w:rsid w:val="000B4521"/>
    <w:rsid w:val="000B7672"/>
    <w:rsid w:val="000B794A"/>
    <w:rsid w:val="000B7A51"/>
    <w:rsid w:val="000C3A47"/>
    <w:rsid w:val="000C3E97"/>
    <w:rsid w:val="000C3EC0"/>
    <w:rsid w:val="000C6967"/>
    <w:rsid w:val="000D2294"/>
    <w:rsid w:val="000D3C8D"/>
    <w:rsid w:val="000D4EB6"/>
    <w:rsid w:val="000D5C0B"/>
    <w:rsid w:val="000D66CD"/>
    <w:rsid w:val="000D7EDD"/>
    <w:rsid w:val="000E1EEF"/>
    <w:rsid w:val="000E2845"/>
    <w:rsid w:val="000E28BE"/>
    <w:rsid w:val="000E5C42"/>
    <w:rsid w:val="000E602A"/>
    <w:rsid w:val="000E636B"/>
    <w:rsid w:val="000E68D9"/>
    <w:rsid w:val="000E6B1E"/>
    <w:rsid w:val="000E74EE"/>
    <w:rsid w:val="000F015C"/>
    <w:rsid w:val="000F15CC"/>
    <w:rsid w:val="000F1799"/>
    <w:rsid w:val="000F37AE"/>
    <w:rsid w:val="000F4819"/>
    <w:rsid w:val="000F5DFD"/>
    <w:rsid w:val="000F659C"/>
    <w:rsid w:val="000F6688"/>
    <w:rsid w:val="000F718D"/>
    <w:rsid w:val="000F73D8"/>
    <w:rsid w:val="00100B13"/>
    <w:rsid w:val="00101539"/>
    <w:rsid w:val="00102DC7"/>
    <w:rsid w:val="00104087"/>
    <w:rsid w:val="00105F97"/>
    <w:rsid w:val="00106012"/>
    <w:rsid w:val="0010692E"/>
    <w:rsid w:val="00110733"/>
    <w:rsid w:val="0011174D"/>
    <w:rsid w:val="001119E7"/>
    <w:rsid w:val="00114CD7"/>
    <w:rsid w:val="00115242"/>
    <w:rsid w:val="00115500"/>
    <w:rsid w:val="001156E7"/>
    <w:rsid w:val="00115B93"/>
    <w:rsid w:val="00115ED5"/>
    <w:rsid w:val="00116021"/>
    <w:rsid w:val="0011671B"/>
    <w:rsid w:val="00120744"/>
    <w:rsid w:val="00121151"/>
    <w:rsid w:val="00121799"/>
    <w:rsid w:val="00122DCC"/>
    <w:rsid w:val="00122FB6"/>
    <w:rsid w:val="00122FD3"/>
    <w:rsid w:val="001235FF"/>
    <w:rsid w:val="001236FA"/>
    <w:rsid w:val="00123A9D"/>
    <w:rsid w:val="00125DAF"/>
    <w:rsid w:val="00126E5A"/>
    <w:rsid w:val="00130DD3"/>
    <w:rsid w:val="001342E2"/>
    <w:rsid w:val="001361A0"/>
    <w:rsid w:val="001367E1"/>
    <w:rsid w:val="00137EED"/>
    <w:rsid w:val="00144E2C"/>
    <w:rsid w:val="00146882"/>
    <w:rsid w:val="00147B17"/>
    <w:rsid w:val="001510FF"/>
    <w:rsid w:val="0015162B"/>
    <w:rsid w:val="001540FE"/>
    <w:rsid w:val="00154697"/>
    <w:rsid w:val="001554C1"/>
    <w:rsid w:val="00157CE5"/>
    <w:rsid w:val="00162083"/>
    <w:rsid w:val="001626DE"/>
    <w:rsid w:val="0016332C"/>
    <w:rsid w:val="001673E8"/>
    <w:rsid w:val="00167EB0"/>
    <w:rsid w:val="001734DE"/>
    <w:rsid w:val="00174647"/>
    <w:rsid w:val="0017504C"/>
    <w:rsid w:val="00175053"/>
    <w:rsid w:val="00176B82"/>
    <w:rsid w:val="001807B7"/>
    <w:rsid w:val="00180DC3"/>
    <w:rsid w:val="001816AF"/>
    <w:rsid w:val="001832BB"/>
    <w:rsid w:val="00183F77"/>
    <w:rsid w:val="00185C41"/>
    <w:rsid w:val="0018668E"/>
    <w:rsid w:val="001870A6"/>
    <w:rsid w:val="00187782"/>
    <w:rsid w:val="001915C4"/>
    <w:rsid w:val="001A21A3"/>
    <w:rsid w:val="001A4690"/>
    <w:rsid w:val="001A4720"/>
    <w:rsid w:val="001A4840"/>
    <w:rsid w:val="001A4EC6"/>
    <w:rsid w:val="001A5F52"/>
    <w:rsid w:val="001A6E8E"/>
    <w:rsid w:val="001A74C0"/>
    <w:rsid w:val="001A769D"/>
    <w:rsid w:val="001B039B"/>
    <w:rsid w:val="001B17BC"/>
    <w:rsid w:val="001B1D57"/>
    <w:rsid w:val="001B28AB"/>
    <w:rsid w:val="001B4F18"/>
    <w:rsid w:val="001B71CD"/>
    <w:rsid w:val="001C0120"/>
    <w:rsid w:val="001C0D93"/>
    <w:rsid w:val="001C25EE"/>
    <w:rsid w:val="001C3393"/>
    <w:rsid w:val="001C3B61"/>
    <w:rsid w:val="001C4B76"/>
    <w:rsid w:val="001C52C7"/>
    <w:rsid w:val="001C532B"/>
    <w:rsid w:val="001C7219"/>
    <w:rsid w:val="001C78A8"/>
    <w:rsid w:val="001D1341"/>
    <w:rsid w:val="001D25FF"/>
    <w:rsid w:val="001D3477"/>
    <w:rsid w:val="001D39CC"/>
    <w:rsid w:val="001D523B"/>
    <w:rsid w:val="001D5AA2"/>
    <w:rsid w:val="001D68E6"/>
    <w:rsid w:val="001E0419"/>
    <w:rsid w:val="001E2557"/>
    <w:rsid w:val="001E3F45"/>
    <w:rsid w:val="001E57DC"/>
    <w:rsid w:val="001E7175"/>
    <w:rsid w:val="001E7A4E"/>
    <w:rsid w:val="001F0F44"/>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1657"/>
    <w:rsid w:val="00213DCB"/>
    <w:rsid w:val="0021533F"/>
    <w:rsid w:val="0021611C"/>
    <w:rsid w:val="00217C2E"/>
    <w:rsid w:val="0022162D"/>
    <w:rsid w:val="00221FF1"/>
    <w:rsid w:val="002227F5"/>
    <w:rsid w:val="00222875"/>
    <w:rsid w:val="0022428D"/>
    <w:rsid w:val="0022458A"/>
    <w:rsid w:val="0022542E"/>
    <w:rsid w:val="002259B7"/>
    <w:rsid w:val="0022600D"/>
    <w:rsid w:val="0022626B"/>
    <w:rsid w:val="0023037E"/>
    <w:rsid w:val="00231EA3"/>
    <w:rsid w:val="0023572B"/>
    <w:rsid w:val="002362F2"/>
    <w:rsid w:val="00236A11"/>
    <w:rsid w:val="0023722A"/>
    <w:rsid w:val="00242633"/>
    <w:rsid w:val="0024305E"/>
    <w:rsid w:val="00244188"/>
    <w:rsid w:val="00247CAA"/>
    <w:rsid w:val="00250D1B"/>
    <w:rsid w:val="002522A6"/>
    <w:rsid w:val="002533F8"/>
    <w:rsid w:val="002549E3"/>
    <w:rsid w:val="00254EBD"/>
    <w:rsid w:val="00255902"/>
    <w:rsid w:val="002572A3"/>
    <w:rsid w:val="002623D0"/>
    <w:rsid w:val="002626D8"/>
    <w:rsid w:val="00262F5D"/>
    <w:rsid w:val="00263DB5"/>
    <w:rsid w:val="0026545D"/>
    <w:rsid w:val="00266E80"/>
    <w:rsid w:val="002718C8"/>
    <w:rsid w:val="0027196A"/>
    <w:rsid w:val="00271A0A"/>
    <w:rsid w:val="002736E0"/>
    <w:rsid w:val="002747C4"/>
    <w:rsid w:val="002753D1"/>
    <w:rsid w:val="00276164"/>
    <w:rsid w:val="00277505"/>
    <w:rsid w:val="0028039B"/>
    <w:rsid w:val="002912E7"/>
    <w:rsid w:val="00291B9B"/>
    <w:rsid w:val="002941B5"/>
    <w:rsid w:val="002960E3"/>
    <w:rsid w:val="002A2865"/>
    <w:rsid w:val="002A2D72"/>
    <w:rsid w:val="002A3CE0"/>
    <w:rsid w:val="002A50C7"/>
    <w:rsid w:val="002A5383"/>
    <w:rsid w:val="002B039E"/>
    <w:rsid w:val="002B05E2"/>
    <w:rsid w:val="002B0F89"/>
    <w:rsid w:val="002B2C56"/>
    <w:rsid w:val="002B35D0"/>
    <w:rsid w:val="002B643D"/>
    <w:rsid w:val="002C102E"/>
    <w:rsid w:val="002C1444"/>
    <w:rsid w:val="002C2F84"/>
    <w:rsid w:val="002C5B15"/>
    <w:rsid w:val="002C5E47"/>
    <w:rsid w:val="002C7A85"/>
    <w:rsid w:val="002D044E"/>
    <w:rsid w:val="002D118B"/>
    <w:rsid w:val="002D2A66"/>
    <w:rsid w:val="002D3ECD"/>
    <w:rsid w:val="002D5FD7"/>
    <w:rsid w:val="002E058A"/>
    <w:rsid w:val="002E2999"/>
    <w:rsid w:val="002E547D"/>
    <w:rsid w:val="002E5BE7"/>
    <w:rsid w:val="002E6361"/>
    <w:rsid w:val="002E724D"/>
    <w:rsid w:val="002F1538"/>
    <w:rsid w:val="002F27F9"/>
    <w:rsid w:val="002F3655"/>
    <w:rsid w:val="002F407A"/>
    <w:rsid w:val="002F51DF"/>
    <w:rsid w:val="002F7683"/>
    <w:rsid w:val="002F7FCF"/>
    <w:rsid w:val="003020D1"/>
    <w:rsid w:val="00302C78"/>
    <w:rsid w:val="00302F30"/>
    <w:rsid w:val="003032AE"/>
    <w:rsid w:val="00303BC2"/>
    <w:rsid w:val="00303E26"/>
    <w:rsid w:val="00304808"/>
    <w:rsid w:val="00304E40"/>
    <w:rsid w:val="00305588"/>
    <w:rsid w:val="003057C3"/>
    <w:rsid w:val="003102EF"/>
    <w:rsid w:val="00311F2F"/>
    <w:rsid w:val="00314217"/>
    <w:rsid w:val="0031459D"/>
    <w:rsid w:val="0031570D"/>
    <w:rsid w:val="00315759"/>
    <w:rsid w:val="003217DA"/>
    <w:rsid w:val="00322F95"/>
    <w:rsid w:val="0032527F"/>
    <w:rsid w:val="003269B5"/>
    <w:rsid w:val="00327B31"/>
    <w:rsid w:val="00327C41"/>
    <w:rsid w:val="00327CDF"/>
    <w:rsid w:val="00327EB1"/>
    <w:rsid w:val="00330921"/>
    <w:rsid w:val="0033295D"/>
    <w:rsid w:val="003354DA"/>
    <w:rsid w:val="00335937"/>
    <w:rsid w:val="00336621"/>
    <w:rsid w:val="00336C17"/>
    <w:rsid w:val="00336E49"/>
    <w:rsid w:val="0034088F"/>
    <w:rsid w:val="003415F6"/>
    <w:rsid w:val="00341CD8"/>
    <w:rsid w:val="0034319B"/>
    <w:rsid w:val="003431C7"/>
    <w:rsid w:val="00344A03"/>
    <w:rsid w:val="00345C23"/>
    <w:rsid w:val="00345D11"/>
    <w:rsid w:val="00346F0B"/>
    <w:rsid w:val="00351542"/>
    <w:rsid w:val="003520CE"/>
    <w:rsid w:val="00352605"/>
    <w:rsid w:val="0035588B"/>
    <w:rsid w:val="0036002D"/>
    <w:rsid w:val="00360EEE"/>
    <w:rsid w:val="00361332"/>
    <w:rsid w:val="0036276B"/>
    <w:rsid w:val="00364FA9"/>
    <w:rsid w:val="00366519"/>
    <w:rsid w:val="00367C3E"/>
    <w:rsid w:val="00370F8E"/>
    <w:rsid w:val="003716E6"/>
    <w:rsid w:val="00372DE6"/>
    <w:rsid w:val="003751D8"/>
    <w:rsid w:val="003768CD"/>
    <w:rsid w:val="0037775D"/>
    <w:rsid w:val="00384A2B"/>
    <w:rsid w:val="0039531D"/>
    <w:rsid w:val="0039579C"/>
    <w:rsid w:val="003A221B"/>
    <w:rsid w:val="003A2B6D"/>
    <w:rsid w:val="003A4AD9"/>
    <w:rsid w:val="003A52A8"/>
    <w:rsid w:val="003A544F"/>
    <w:rsid w:val="003B5566"/>
    <w:rsid w:val="003B621A"/>
    <w:rsid w:val="003B6BB5"/>
    <w:rsid w:val="003C0141"/>
    <w:rsid w:val="003C1198"/>
    <w:rsid w:val="003C4AB5"/>
    <w:rsid w:val="003D004A"/>
    <w:rsid w:val="003D2898"/>
    <w:rsid w:val="003D3E13"/>
    <w:rsid w:val="003D44A6"/>
    <w:rsid w:val="003D4981"/>
    <w:rsid w:val="003D4CFB"/>
    <w:rsid w:val="003D4D39"/>
    <w:rsid w:val="003D7E7A"/>
    <w:rsid w:val="003E1570"/>
    <w:rsid w:val="003E1736"/>
    <w:rsid w:val="003E3B61"/>
    <w:rsid w:val="003E4458"/>
    <w:rsid w:val="003E5673"/>
    <w:rsid w:val="003E6636"/>
    <w:rsid w:val="003E77A0"/>
    <w:rsid w:val="003F0B47"/>
    <w:rsid w:val="003F1263"/>
    <w:rsid w:val="003F1C32"/>
    <w:rsid w:val="003F21EE"/>
    <w:rsid w:val="003F2B2D"/>
    <w:rsid w:val="003F342D"/>
    <w:rsid w:val="003F3F36"/>
    <w:rsid w:val="003F4410"/>
    <w:rsid w:val="003F4D3F"/>
    <w:rsid w:val="0040021B"/>
    <w:rsid w:val="00400C2F"/>
    <w:rsid w:val="00402FE5"/>
    <w:rsid w:val="00404332"/>
    <w:rsid w:val="00412D85"/>
    <w:rsid w:val="00412F68"/>
    <w:rsid w:val="004154AC"/>
    <w:rsid w:val="00417FDF"/>
    <w:rsid w:val="004203AD"/>
    <w:rsid w:val="0042131C"/>
    <w:rsid w:val="00421BB1"/>
    <w:rsid w:val="0042290E"/>
    <w:rsid w:val="00423498"/>
    <w:rsid w:val="004250AE"/>
    <w:rsid w:val="0042592A"/>
    <w:rsid w:val="00430ACE"/>
    <w:rsid w:val="00431D69"/>
    <w:rsid w:val="0043350D"/>
    <w:rsid w:val="0043358F"/>
    <w:rsid w:val="004351F7"/>
    <w:rsid w:val="00436A35"/>
    <w:rsid w:val="00436A65"/>
    <w:rsid w:val="00437221"/>
    <w:rsid w:val="00437EFB"/>
    <w:rsid w:val="004446B4"/>
    <w:rsid w:val="00445B4F"/>
    <w:rsid w:val="004471DF"/>
    <w:rsid w:val="004473E1"/>
    <w:rsid w:val="00450CE8"/>
    <w:rsid w:val="004515F4"/>
    <w:rsid w:val="00451BFB"/>
    <w:rsid w:val="00452705"/>
    <w:rsid w:val="00452E3E"/>
    <w:rsid w:val="0045307A"/>
    <w:rsid w:val="00454A7B"/>
    <w:rsid w:val="00456683"/>
    <w:rsid w:val="00460671"/>
    <w:rsid w:val="00461AE7"/>
    <w:rsid w:val="00464ED9"/>
    <w:rsid w:val="00466ACF"/>
    <w:rsid w:val="004675D0"/>
    <w:rsid w:val="00467C82"/>
    <w:rsid w:val="00472253"/>
    <w:rsid w:val="00473151"/>
    <w:rsid w:val="0047352A"/>
    <w:rsid w:val="00473C91"/>
    <w:rsid w:val="00474ADE"/>
    <w:rsid w:val="00475201"/>
    <w:rsid w:val="00477533"/>
    <w:rsid w:val="00480F9A"/>
    <w:rsid w:val="00482172"/>
    <w:rsid w:val="00483BB1"/>
    <w:rsid w:val="004851A9"/>
    <w:rsid w:val="00490C19"/>
    <w:rsid w:val="00493CDE"/>
    <w:rsid w:val="004944D1"/>
    <w:rsid w:val="00496D08"/>
    <w:rsid w:val="00496D11"/>
    <w:rsid w:val="004A2814"/>
    <w:rsid w:val="004A4A1A"/>
    <w:rsid w:val="004A5CD4"/>
    <w:rsid w:val="004B0789"/>
    <w:rsid w:val="004B07A1"/>
    <w:rsid w:val="004B3E9E"/>
    <w:rsid w:val="004B47AF"/>
    <w:rsid w:val="004B4D64"/>
    <w:rsid w:val="004C12BF"/>
    <w:rsid w:val="004C1581"/>
    <w:rsid w:val="004C495D"/>
    <w:rsid w:val="004C49C0"/>
    <w:rsid w:val="004C675D"/>
    <w:rsid w:val="004D0301"/>
    <w:rsid w:val="004D10E9"/>
    <w:rsid w:val="004D2534"/>
    <w:rsid w:val="004D2BED"/>
    <w:rsid w:val="004D3741"/>
    <w:rsid w:val="004D3AD5"/>
    <w:rsid w:val="004D5474"/>
    <w:rsid w:val="004D5CE2"/>
    <w:rsid w:val="004D6D0C"/>
    <w:rsid w:val="004E58B2"/>
    <w:rsid w:val="004E61A9"/>
    <w:rsid w:val="004F224F"/>
    <w:rsid w:val="004F411A"/>
    <w:rsid w:val="004F512F"/>
    <w:rsid w:val="004F5418"/>
    <w:rsid w:val="004F652A"/>
    <w:rsid w:val="004F7388"/>
    <w:rsid w:val="004F7B32"/>
    <w:rsid w:val="005005C8"/>
    <w:rsid w:val="005005D3"/>
    <w:rsid w:val="005007CC"/>
    <w:rsid w:val="00500BC4"/>
    <w:rsid w:val="0050125E"/>
    <w:rsid w:val="00502CBB"/>
    <w:rsid w:val="00502DBA"/>
    <w:rsid w:val="00503251"/>
    <w:rsid w:val="00503B76"/>
    <w:rsid w:val="00503E07"/>
    <w:rsid w:val="0050651F"/>
    <w:rsid w:val="005066C5"/>
    <w:rsid w:val="00506E60"/>
    <w:rsid w:val="0051068F"/>
    <w:rsid w:val="00511C8D"/>
    <w:rsid w:val="00512C1D"/>
    <w:rsid w:val="005135DA"/>
    <w:rsid w:val="005136EA"/>
    <w:rsid w:val="00514822"/>
    <w:rsid w:val="00514A1E"/>
    <w:rsid w:val="005161CF"/>
    <w:rsid w:val="005179B5"/>
    <w:rsid w:val="00521F0B"/>
    <w:rsid w:val="00522ACE"/>
    <w:rsid w:val="00522C1C"/>
    <w:rsid w:val="0052422E"/>
    <w:rsid w:val="0052443E"/>
    <w:rsid w:val="00525913"/>
    <w:rsid w:val="00525F66"/>
    <w:rsid w:val="0052608D"/>
    <w:rsid w:val="00526A0B"/>
    <w:rsid w:val="005273D8"/>
    <w:rsid w:val="00527535"/>
    <w:rsid w:val="005276DD"/>
    <w:rsid w:val="00527771"/>
    <w:rsid w:val="00527F60"/>
    <w:rsid w:val="00530645"/>
    <w:rsid w:val="00535020"/>
    <w:rsid w:val="00535CA0"/>
    <w:rsid w:val="00536264"/>
    <w:rsid w:val="00536568"/>
    <w:rsid w:val="00541649"/>
    <w:rsid w:val="00541E98"/>
    <w:rsid w:val="00543A47"/>
    <w:rsid w:val="00544A8D"/>
    <w:rsid w:val="00544B9A"/>
    <w:rsid w:val="00545759"/>
    <w:rsid w:val="00547B02"/>
    <w:rsid w:val="005506C4"/>
    <w:rsid w:val="00551AF9"/>
    <w:rsid w:val="00554C45"/>
    <w:rsid w:val="00554D4B"/>
    <w:rsid w:val="005553CA"/>
    <w:rsid w:val="00556055"/>
    <w:rsid w:val="005562C7"/>
    <w:rsid w:val="005574FA"/>
    <w:rsid w:val="00557846"/>
    <w:rsid w:val="00561507"/>
    <w:rsid w:val="005616E5"/>
    <w:rsid w:val="005632FC"/>
    <w:rsid w:val="00565121"/>
    <w:rsid w:val="00571FC6"/>
    <w:rsid w:val="0057235D"/>
    <w:rsid w:val="00573C61"/>
    <w:rsid w:val="005771DA"/>
    <w:rsid w:val="00581EF1"/>
    <w:rsid w:val="0058348D"/>
    <w:rsid w:val="00583F20"/>
    <w:rsid w:val="0058632C"/>
    <w:rsid w:val="00590014"/>
    <w:rsid w:val="00590A15"/>
    <w:rsid w:val="00591B33"/>
    <w:rsid w:val="00592575"/>
    <w:rsid w:val="00592D5F"/>
    <w:rsid w:val="005931EE"/>
    <w:rsid w:val="00596D43"/>
    <w:rsid w:val="00597388"/>
    <w:rsid w:val="005A0D78"/>
    <w:rsid w:val="005A1218"/>
    <w:rsid w:val="005A1E06"/>
    <w:rsid w:val="005A50BB"/>
    <w:rsid w:val="005A5549"/>
    <w:rsid w:val="005A567C"/>
    <w:rsid w:val="005A5F72"/>
    <w:rsid w:val="005A6934"/>
    <w:rsid w:val="005A78B3"/>
    <w:rsid w:val="005A78CB"/>
    <w:rsid w:val="005B052E"/>
    <w:rsid w:val="005B1183"/>
    <w:rsid w:val="005B307E"/>
    <w:rsid w:val="005B3E03"/>
    <w:rsid w:val="005B54E3"/>
    <w:rsid w:val="005B5917"/>
    <w:rsid w:val="005B6377"/>
    <w:rsid w:val="005B66DF"/>
    <w:rsid w:val="005C16B2"/>
    <w:rsid w:val="005C1BD6"/>
    <w:rsid w:val="005C2308"/>
    <w:rsid w:val="005C286D"/>
    <w:rsid w:val="005C4464"/>
    <w:rsid w:val="005C5166"/>
    <w:rsid w:val="005C6BD4"/>
    <w:rsid w:val="005D0090"/>
    <w:rsid w:val="005D0740"/>
    <w:rsid w:val="005D26D8"/>
    <w:rsid w:val="005D3D19"/>
    <w:rsid w:val="005D4704"/>
    <w:rsid w:val="005D6079"/>
    <w:rsid w:val="005D6F2F"/>
    <w:rsid w:val="005D6FD3"/>
    <w:rsid w:val="005E1C31"/>
    <w:rsid w:val="005E25C8"/>
    <w:rsid w:val="005E30C0"/>
    <w:rsid w:val="005E537A"/>
    <w:rsid w:val="005E6215"/>
    <w:rsid w:val="005E6835"/>
    <w:rsid w:val="005E6953"/>
    <w:rsid w:val="005E726F"/>
    <w:rsid w:val="005F0278"/>
    <w:rsid w:val="005F0B46"/>
    <w:rsid w:val="005F1E62"/>
    <w:rsid w:val="005F23AE"/>
    <w:rsid w:val="005F2FA4"/>
    <w:rsid w:val="005F46E9"/>
    <w:rsid w:val="0060030A"/>
    <w:rsid w:val="006017C6"/>
    <w:rsid w:val="00601977"/>
    <w:rsid w:val="0060223A"/>
    <w:rsid w:val="00605029"/>
    <w:rsid w:val="00605E9D"/>
    <w:rsid w:val="006102BE"/>
    <w:rsid w:val="006104C1"/>
    <w:rsid w:val="006105E3"/>
    <w:rsid w:val="0061094B"/>
    <w:rsid w:val="006127A3"/>
    <w:rsid w:val="00612BEC"/>
    <w:rsid w:val="00612D0E"/>
    <w:rsid w:val="00613454"/>
    <w:rsid w:val="00613F52"/>
    <w:rsid w:val="006140E9"/>
    <w:rsid w:val="006160AA"/>
    <w:rsid w:val="00617851"/>
    <w:rsid w:val="006205F4"/>
    <w:rsid w:val="00623A13"/>
    <w:rsid w:val="006248FE"/>
    <w:rsid w:val="006250F2"/>
    <w:rsid w:val="00625164"/>
    <w:rsid w:val="0063034B"/>
    <w:rsid w:val="00633DF2"/>
    <w:rsid w:val="00634602"/>
    <w:rsid w:val="006350FF"/>
    <w:rsid w:val="00635209"/>
    <w:rsid w:val="0063530D"/>
    <w:rsid w:val="00635BFC"/>
    <w:rsid w:val="00642E77"/>
    <w:rsid w:val="00642FEA"/>
    <w:rsid w:val="00643BDA"/>
    <w:rsid w:val="0064481C"/>
    <w:rsid w:val="006454E1"/>
    <w:rsid w:val="006478CB"/>
    <w:rsid w:val="00647E14"/>
    <w:rsid w:val="00647F32"/>
    <w:rsid w:val="006564AD"/>
    <w:rsid w:val="00661456"/>
    <w:rsid w:val="00663BF9"/>
    <w:rsid w:val="006643F0"/>
    <w:rsid w:val="00664535"/>
    <w:rsid w:val="00667220"/>
    <w:rsid w:val="0067065F"/>
    <w:rsid w:val="00670B6A"/>
    <w:rsid w:val="00671632"/>
    <w:rsid w:val="00671740"/>
    <w:rsid w:val="006723FD"/>
    <w:rsid w:val="00674EAA"/>
    <w:rsid w:val="00674FB6"/>
    <w:rsid w:val="006764E3"/>
    <w:rsid w:val="006776AF"/>
    <w:rsid w:val="00677DE4"/>
    <w:rsid w:val="00684722"/>
    <w:rsid w:val="00685041"/>
    <w:rsid w:val="00685290"/>
    <w:rsid w:val="0068666A"/>
    <w:rsid w:val="006871DB"/>
    <w:rsid w:val="006876D1"/>
    <w:rsid w:val="00687823"/>
    <w:rsid w:val="0069016E"/>
    <w:rsid w:val="006902D7"/>
    <w:rsid w:val="00693B2F"/>
    <w:rsid w:val="00694903"/>
    <w:rsid w:val="00694DED"/>
    <w:rsid w:val="00695430"/>
    <w:rsid w:val="00695E69"/>
    <w:rsid w:val="00696027"/>
    <w:rsid w:val="00696B02"/>
    <w:rsid w:val="00697D38"/>
    <w:rsid w:val="006A0B49"/>
    <w:rsid w:val="006A22AA"/>
    <w:rsid w:val="006A2926"/>
    <w:rsid w:val="006A3E71"/>
    <w:rsid w:val="006A4069"/>
    <w:rsid w:val="006A5499"/>
    <w:rsid w:val="006A560E"/>
    <w:rsid w:val="006A6497"/>
    <w:rsid w:val="006A6753"/>
    <w:rsid w:val="006A6857"/>
    <w:rsid w:val="006A693E"/>
    <w:rsid w:val="006A79AD"/>
    <w:rsid w:val="006B081D"/>
    <w:rsid w:val="006B0A7C"/>
    <w:rsid w:val="006B14B3"/>
    <w:rsid w:val="006B15F6"/>
    <w:rsid w:val="006B1A31"/>
    <w:rsid w:val="006B4CB5"/>
    <w:rsid w:val="006B6ACD"/>
    <w:rsid w:val="006C064E"/>
    <w:rsid w:val="006C094E"/>
    <w:rsid w:val="006C0AD4"/>
    <w:rsid w:val="006C0E91"/>
    <w:rsid w:val="006C0EDD"/>
    <w:rsid w:val="006C1FE1"/>
    <w:rsid w:val="006C41C7"/>
    <w:rsid w:val="006C63D1"/>
    <w:rsid w:val="006C6DDD"/>
    <w:rsid w:val="006D1B89"/>
    <w:rsid w:val="006D33EB"/>
    <w:rsid w:val="006D56AF"/>
    <w:rsid w:val="006E07D4"/>
    <w:rsid w:val="006E11E6"/>
    <w:rsid w:val="006E1C38"/>
    <w:rsid w:val="006E44E0"/>
    <w:rsid w:val="006E4A39"/>
    <w:rsid w:val="006E6317"/>
    <w:rsid w:val="006E71A2"/>
    <w:rsid w:val="006E77F3"/>
    <w:rsid w:val="006E7A90"/>
    <w:rsid w:val="006F0A6B"/>
    <w:rsid w:val="006F3F3C"/>
    <w:rsid w:val="006F51B4"/>
    <w:rsid w:val="006F5830"/>
    <w:rsid w:val="006F5962"/>
    <w:rsid w:val="0070051E"/>
    <w:rsid w:val="00701891"/>
    <w:rsid w:val="0070207C"/>
    <w:rsid w:val="007037F7"/>
    <w:rsid w:val="0070470E"/>
    <w:rsid w:val="00706D90"/>
    <w:rsid w:val="00707D0B"/>
    <w:rsid w:val="007105C9"/>
    <w:rsid w:val="007110BD"/>
    <w:rsid w:val="0071285E"/>
    <w:rsid w:val="007132A7"/>
    <w:rsid w:val="00713FF6"/>
    <w:rsid w:val="007143A0"/>
    <w:rsid w:val="00714B64"/>
    <w:rsid w:val="00714BC6"/>
    <w:rsid w:val="00716D02"/>
    <w:rsid w:val="00717A72"/>
    <w:rsid w:val="0072116F"/>
    <w:rsid w:val="00723334"/>
    <w:rsid w:val="00726124"/>
    <w:rsid w:val="00732995"/>
    <w:rsid w:val="00735BCA"/>
    <w:rsid w:val="007367E8"/>
    <w:rsid w:val="00736C6A"/>
    <w:rsid w:val="00737229"/>
    <w:rsid w:val="00740739"/>
    <w:rsid w:val="00742767"/>
    <w:rsid w:val="00742EA4"/>
    <w:rsid w:val="0074326B"/>
    <w:rsid w:val="00744250"/>
    <w:rsid w:val="00744725"/>
    <w:rsid w:val="007470AA"/>
    <w:rsid w:val="00750FEE"/>
    <w:rsid w:val="00751908"/>
    <w:rsid w:val="00752757"/>
    <w:rsid w:val="00752A0F"/>
    <w:rsid w:val="00755A2F"/>
    <w:rsid w:val="00755B29"/>
    <w:rsid w:val="0075626D"/>
    <w:rsid w:val="00757E70"/>
    <w:rsid w:val="00761B35"/>
    <w:rsid w:val="00765795"/>
    <w:rsid w:val="007659E2"/>
    <w:rsid w:val="00766885"/>
    <w:rsid w:val="00770194"/>
    <w:rsid w:val="00770846"/>
    <w:rsid w:val="00772BB7"/>
    <w:rsid w:val="00774342"/>
    <w:rsid w:val="0077561B"/>
    <w:rsid w:val="007766A3"/>
    <w:rsid w:val="00781AB5"/>
    <w:rsid w:val="00781D08"/>
    <w:rsid w:val="00781DD1"/>
    <w:rsid w:val="00783657"/>
    <w:rsid w:val="0078417B"/>
    <w:rsid w:val="0078437D"/>
    <w:rsid w:val="00784955"/>
    <w:rsid w:val="00784F91"/>
    <w:rsid w:val="00785721"/>
    <w:rsid w:val="00790A13"/>
    <w:rsid w:val="007921CD"/>
    <w:rsid w:val="0079385C"/>
    <w:rsid w:val="007970F8"/>
    <w:rsid w:val="00797B3A"/>
    <w:rsid w:val="007A307B"/>
    <w:rsid w:val="007A3B90"/>
    <w:rsid w:val="007A3BE0"/>
    <w:rsid w:val="007A3DCE"/>
    <w:rsid w:val="007A543B"/>
    <w:rsid w:val="007A5479"/>
    <w:rsid w:val="007A7FC5"/>
    <w:rsid w:val="007B12D0"/>
    <w:rsid w:val="007B1686"/>
    <w:rsid w:val="007B51C1"/>
    <w:rsid w:val="007B77CB"/>
    <w:rsid w:val="007C12DA"/>
    <w:rsid w:val="007C2167"/>
    <w:rsid w:val="007C29DC"/>
    <w:rsid w:val="007C56E5"/>
    <w:rsid w:val="007C6A7A"/>
    <w:rsid w:val="007C7183"/>
    <w:rsid w:val="007D1852"/>
    <w:rsid w:val="007D23F5"/>
    <w:rsid w:val="007D4DDA"/>
    <w:rsid w:val="007D512F"/>
    <w:rsid w:val="007D59BF"/>
    <w:rsid w:val="007D5D21"/>
    <w:rsid w:val="007E012B"/>
    <w:rsid w:val="007E15CE"/>
    <w:rsid w:val="007E1C81"/>
    <w:rsid w:val="007E4346"/>
    <w:rsid w:val="007E485C"/>
    <w:rsid w:val="007E6831"/>
    <w:rsid w:val="007F20E5"/>
    <w:rsid w:val="007F382A"/>
    <w:rsid w:val="007F42BC"/>
    <w:rsid w:val="007F5663"/>
    <w:rsid w:val="00800986"/>
    <w:rsid w:val="00800F64"/>
    <w:rsid w:val="00805F26"/>
    <w:rsid w:val="00807BBB"/>
    <w:rsid w:val="0081154C"/>
    <w:rsid w:val="0081396B"/>
    <w:rsid w:val="00815450"/>
    <w:rsid w:val="00816409"/>
    <w:rsid w:val="008174D2"/>
    <w:rsid w:val="00820644"/>
    <w:rsid w:val="00821737"/>
    <w:rsid w:val="00821841"/>
    <w:rsid w:val="00823762"/>
    <w:rsid w:val="00824A9C"/>
    <w:rsid w:val="00825F4E"/>
    <w:rsid w:val="00827816"/>
    <w:rsid w:val="00830FAB"/>
    <w:rsid w:val="008327BC"/>
    <w:rsid w:val="00832EF9"/>
    <w:rsid w:val="00834ECF"/>
    <w:rsid w:val="00835028"/>
    <w:rsid w:val="00835E10"/>
    <w:rsid w:val="00837D7F"/>
    <w:rsid w:val="0084033A"/>
    <w:rsid w:val="00840885"/>
    <w:rsid w:val="00843118"/>
    <w:rsid w:val="00843F52"/>
    <w:rsid w:val="00845195"/>
    <w:rsid w:val="008465F8"/>
    <w:rsid w:val="008475DA"/>
    <w:rsid w:val="0085259E"/>
    <w:rsid w:val="0085291E"/>
    <w:rsid w:val="00853826"/>
    <w:rsid w:val="00853F7E"/>
    <w:rsid w:val="008546A5"/>
    <w:rsid w:val="00856433"/>
    <w:rsid w:val="00856B4E"/>
    <w:rsid w:val="00860787"/>
    <w:rsid w:val="0086118E"/>
    <w:rsid w:val="00861FEE"/>
    <w:rsid w:val="0086581C"/>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5880"/>
    <w:rsid w:val="00897030"/>
    <w:rsid w:val="008A0B6E"/>
    <w:rsid w:val="008A1286"/>
    <w:rsid w:val="008A3AB0"/>
    <w:rsid w:val="008A4C2B"/>
    <w:rsid w:val="008A5C9F"/>
    <w:rsid w:val="008A6D97"/>
    <w:rsid w:val="008B0EEB"/>
    <w:rsid w:val="008B13A0"/>
    <w:rsid w:val="008B153F"/>
    <w:rsid w:val="008B22CF"/>
    <w:rsid w:val="008B2ABB"/>
    <w:rsid w:val="008C0F81"/>
    <w:rsid w:val="008C10EE"/>
    <w:rsid w:val="008C1209"/>
    <w:rsid w:val="008C1517"/>
    <w:rsid w:val="008C1876"/>
    <w:rsid w:val="008C5E77"/>
    <w:rsid w:val="008C70C0"/>
    <w:rsid w:val="008D0899"/>
    <w:rsid w:val="008D1CCB"/>
    <w:rsid w:val="008D246B"/>
    <w:rsid w:val="008D32B0"/>
    <w:rsid w:val="008D350C"/>
    <w:rsid w:val="008D6373"/>
    <w:rsid w:val="008D709D"/>
    <w:rsid w:val="008E13CB"/>
    <w:rsid w:val="008E3204"/>
    <w:rsid w:val="008E4D74"/>
    <w:rsid w:val="008E5514"/>
    <w:rsid w:val="008E5F21"/>
    <w:rsid w:val="008F0943"/>
    <w:rsid w:val="008F2496"/>
    <w:rsid w:val="008F2B66"/>
    <w:rsid w:val="008F2DC0"/>
    <w:rsid w:val="008F326C"/>
    <w:rsid w:val="008F3344"/>
    <w:rsid w:val="008F3E25"/>
    <w:rsid w:val="008F5F13"/>
    <w:rsid w:val="008F6B76"/>
    <w:rsid w:val="00900A63"/>
    <w:rsid w:val="00900C31"/>
    <w:rsid w:val="00900E1B"/>
    <w:rsid w:val="00902458"/>
    <w:rsid w:val="0090419A"/>
    <w:rsid w:val="00912BEA"/>
    <w:rsid w:val="009141E2"/>
    <w:rsid w:val="00917302"/>
    <w:rsid w:val="00924E95"/>
    <w:rsid w:val="00925722"/>
    <w:rsid w:val="009257C9"/>
    <w:rsid w:val="00925E3F"/>
    <w:rsid w:val="00926430"/>
    <w:rsid w:val="00927036"/>
    <w:rsid w:val="00927BED"/>
    <w:rsid w:val="00932ED2"/>
    <w:rsid w:val="00934776"/>
    <w:rsid w:val="009364AC"/>
    <w:rsid w:val="00940696"/>
    <w:rsid w:val="009414B4"/>
    <w:rsid w:val="00941AC2"/>
    <w:rsid w:val="00941AE5"/>
    <w:rsid w:val="00942374"/>
    <w:rsid w:val="00942AA6"/>
    <w:rsid w:val="00945567"/>
    <w:rsid w:val="009514BB"/>
    <w:rsid w:val="00951B2B"/>
    <w:rsid w:val="00953CC1"/>
    <w:rsid w:val="00955776"/>
    <w:rsid w:val="00955C7C"/>
    <w:rsid w:val="00960F08"/>
    <w:rsid w:val="00962D33"/>
    <w:rsid w:val="00962F6D"/>
    <w:rsid w:val="00962FEA"/>
    <w:rsid w:val="0096645A"/>
    <w:rsid w:val="009677B8"/>
    <w:rsid w:val="00967ADA"/>
    <w:rsid w:val="00970BD9"/>
    <w:rsid w:val="00973E59"/>
    <w:rsid w:val="009743C7"/>
    <w:rsid w:val="00975E08"/>
    <w:rsid w:val="009769B8"/>
    <w:rsid w:val="009771AB"/>
    <w:rsid w:val="009776FB"/>
    <w:rsid w:val="00980BED"/>
    <w:rsid w:val="00982637"/>
    <w:rsid w:val="00983B32"/>
    <w:rsid w:val="00985559"/>
    <w:rsid w:val="00992751"/>
    <w:rsid w:val="00994F11"/>
    <w:rsid w:val="00995191"/>
    <w:rsid w:val="0099746A"/>
    <w:rsid w:val="00997C60"/>
    <w:rsid w:val="00997CA9"/>
    <w:rsid w:val="009A036C"/>
    <w:rsid w:val="009A09C8"/>
    <w:rsid w:val="009A15ED"/>
    <w:rsid w:val="009A2637"/>
    <w:rsid w:val="009A283B"/>
    <w:rsid w:val="009A4F40"/>
    <w:rsid w:val="009A534C"/>
    <w:rsid w:val="009A61AA"/>
    <w:rsid w:val="009B32DE"/>
    <w:rsid w:val="009B4233"/>
    <w:rsid w:val="009B5B33"/>
    <w:rsid w:val="009B6F7A"/>
    <w:rsid w:val="009B7AD6"/>
    <w:rsid w:val="009C0094"/>
    <w:rsid w:val="009C1219"/>
    <w:rsid w:val="009C3B11"/>
    <w:rsid w:val="009D2A10"/>
    <w:rsid w:val="009D3C43"/>
    <w:rsid w:val="009D558C"/>
    <w:rsid w:val="009D5E9D"/>
    <w:rsid w:val="009D5FBC"/>
    <w:rsid w:val="009D6924"/>
    <w:rsid w:val="009D754D"/>
    <w:rsid w:val="009D76BA"/>
    <w:rsid w:val="009E13AE"/>
    <w:rsid w:val="009E1787"/>
    <w:rsid w:val="009E257F"/>
    <w:rsid w:val="009E358F"/>
    <w:rsid w:val="009E45E5"/>
    <w:rsid w:val="009E4791"/>
    <w:rsid w:val="009E4E97"/>
    <w:rsid w:val="009E521D"/>
    <w:rsid w:val="009E670C"/>
    <w:rsid w:val="009F1C08"/>
    <w:rsid w:val="009F3CD0"/>
    <w:rsid w:val="009F3DE4"/>
    <w:rsid w:val="009F4E65"/>
    <w:rsid w:val="009F7C38"/>
    <w:rsid w:val="009F7EB2"/>
    <w:rsid w:val="00A01643"/>
    <w:rsid w:val="00A01665"/>
    <w:rsid w:val="00A02307"/>
    <w:rsid w:val="00A02507"/>
    <w:rsid w:val="00A02A1E"/>
    <w:rsid w:val="00A02FC8"/>
    <w:rsid w:val="00A036FA"/>
    <w:rsid w:val="00A06732"/>
    <w:rsid w:val="00A07F69"/>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4EBB"/>
    <w:rsid w:val="00A250BF"/>
    <w:rsid w:val="00A3068E"/>
    <w:rsid w:val="00A308D5"/>
    <w:rsid w:val="00A31916"/>
    <w:rsid w:val="00A31F03"/>
    <w:rsid w:val="00A32FCA"/>
    <w:rsid w:val="00A341C6"/>
    <w:rsid w:val="00A35ED9"/>
    <w:rsid w:val="00A37184"/>
    <w:rsid w:val="00A3782D"/>
    <w:rsid w:val="00A40EE3"/>
    <w:rsid w:val="00A41022"/>
    <w:rsid w:val="00A411B4"/>
    <w:rsid w:val="00A44246"/>
    <w:rsid w:val="00A452FC"/>
    <w:rsid w:val="00A46FC9"/>
    <w:rsid w:val="00A52711"/>
    <w:rsid w:val="00A542C6"/>
    <w:rsid w:val="00A57026"/>
    <w:rsid w:val="00A5740B"/>
    <w:rsid w:val="00A57A9E"/>
    <w:rsid w:val="00A6004B"/>
    <w:rsid w:val="00A61CCD"/>
    <w:rsid w:val="00A62CF6"/>
    <w:rsid w:val="00A640EA"/>
    <w:rsid w:val="00A66357"/>
    <w:rsid w:val="00A67DD2"/>
    <w:rsid w:val="00A71449"/>
    <w:rsid w:val="00A72148"/>
    <w:rsid w:val="00A72F52"/>
    <w:rsid w:val="00A73B3D"/>
    <w:rsid w:val="00A74DEE"/>
    <w:rsid w:val="00A764E7"/>
    <w:rsid w:val="00A76950"/>
    <w:rsid w:val="00A77013"/>
    <w:rsid w:val="00A8050E"/>
    <w:rsid w:val="00A80C2C"/>
    <w:rsid w:val="00A831DA"/>
    <w:rsid w:val="00A8439A"/>
    <w:rsid w:val="00A84B79"/>
    <w:rsid w:val="00A84F1C"/>
    <w:rsid w:val="00A86C4B"/>
    <w:rsid w:val="00A87348"/>
    <w:rsid w:val="00A877C0"/>
    <w:rsid w:val="00A93D2C"/>
    <w:rsid w:val="00A94E9A"/>
    <w:rsid w:val="00AA069B"/>
    <w:rsid w:val="00AB0E52"/>
    <w:rsid w:val="00AB1A09"/>
    <w:rsid w:val="00AB1DBD"/>
    <w:rsid w:val="00AB271A"/>
    <w:rsid w:val="00AC06F0"/>
    <w:rsid w:val="00AC0DF9"/>
    <w:rsid w:val="00AC1761"/>
    <w:rsid w:val="00AC1AEA"/>
    <w:rsid w:val="00AC21B4"/>
    <w:rsid w:val="00AC32D4"/>
    <w:rsid w:val="00AC525E"/>
    <w:rsid w:val="00AC6E96"/>
    <w:rsid w:val="00AD1475"/>
    <w:rsid w:val="00AD1E99"/>
    <w:rsid w:val="00AD2779"/>
    <w:rsid w:val="00AD2B62"/>
    <w:rsid w:val="00AD3B4F"/>
    <w:rsid w:val="00AD616A"/>
    <w:rsid w:val="00AD680A"/>
    <w:rsid w:val="00AD7BDA"/>
    <w:rsid w:val="00AE0402"/>
    <w:rsid w:val="00AE0494"/>
    <w:rsid w:val="00AE060C"/>
    <w:rsid w:val="00AE0CBB"/>
    <w:rsid w:val="00AE1BE6"/>
    <w:rsid w:val="00AE245A"/>
    <w:rsid w:val="00AE4862"/>
    <w:rsid w:val="00AE5DC0"/>
    <w:rsid w:val="00AE69F2"/>
    <w:rsid w:val="00AE6C5E"/>
    <w:rsid w:val="00AE7B7C"/>
    <w:rsid w:val="00AF1927"/>
    <w:rsid w:val="00AF4164"/>
    <w:rsid w:val="00AF448F"/>
    <w:rsid w:val="00AF550C"/>
    <w:rsid w:val="00AF5573"/>
    <w:rsid w:val="00AF5D99"/>
    <w:rsid w:val="00AF6E7D"/>
    <w:rsid w:val="00AF7289"/>
    <w:rsid w:val="00AF7AB0"/>
    <w:rsid w:val="00B03E0C"/>
    <w:rsid w:val="00B04F10"/>
    <w:rsid w:val="00B05244"/>
    <w:rsid w:val="00B052A1"/>
    <w:rsid w:val="00B052C6"/>
    <w:rsid w:val="00B05534"/>
    <w:rsid w:val="00B05C15"/>
    <w:rsid w:val="00B0642D"/>
    <w:rsid w:val="00B06BED"/>
    <w:rsid w:val="00B1045B"/>
    <w:rsid w:val="00B10B65"/>
    <w:rsid w:val="00B11008"/>
    <w:rsid w:val="00B11A0D"/>
    <w:rsid w:val="00B1353B"/>
    <w:rsid w:val="00B13726"/>
    <w:rsid w:val="00B139A1"/>
    <w:rsid w:val="00B21B7F"/>
    <w:rsid w:val="00B221D2"/>
    <w:rsid w:val="00B24E0D"/>
    <w:rsid w:val="00B2696D"/>
    <w:rsid w:val="00B26CA8"/>
    <w:rsid w:val="00B26E59"/>
    <w:rsid w:val="00B2788D"/>
    <w:rsid w:val="00B30FF9"/>
    <w:rsid w:val="00B31502"/>
    <w:rsid w:val="00B31A2A"/>
    <w:rsid w:val="00B31B21"/>
    <w:rsid w:val="00B32143"/>
    <w:rsid w:val="00B32975"/>
    <w:rsid w:val="00B35611"/>
    <w:rsid w:val="00B35ABE"/>
    <w:rsid w:val="00B41213"/>
    <w:rsid w:val="00B41A7E"/>
    <w:rsid w:val="00B42508"/>
    <w:rsid w:val="00B4286E"/>
    <w:rsid w:val="00B42FA9"/>
    <w:rsid w:val="00B45F92"/>
    <w:rsid w:val="00B4682A"/>
    <w:rsid w:val="00B517E8"/>
    <w:rsid w:val="00B542A5"/>
    <w:rsid w:val="00B550AF"/>
    <w:rsid w:val="00B55758"/>
    <w:rsid w:val="00B60825"/>
    <w:rsid w:val="00B6121F"/>
    <w:rsid w:val="00B66CAD"/>
    <w:rsid w:val="00B67397"/>
    <w:rsid w:val="00B7002B"/>
    <w:rsid w:val="00B700B4"/>
    <w:rsid w:val="00B720F7"/>
    <w:rsid w:val="00B7322F"/>
    <w:rsid w:val="00B733BE"/>
    <w:rsid w:val="00B7460D"/>
    <w:rsid w:val="00B747F5"/>
    <w:rsid w:val="00B80D88"/>
    <w:rsid w:val="00B83849"/>
    <w:rsid w:val="00B83F0A"/>
    <w:rsid w:val="00B843B6"/>
    <w:rsid w:val="00B84B76"/>
    <w:rsid w:val="00B84DDB"/>
    <w:rsid w:val="00B850A9"/>
    <w:rsid w:val="00B85FF6"/>
    <w:rsid w:val="00B86334"/>
    <w:rsid w:val="00B86BC0"/>
    <w:rsid w:val="00B902B5"/>
    <w:rsid w:val="00B96668"/>
    <w:rsid w:val="00BA0EFA"/>
    <w:rsid w:val="00BA2878"/>
    <w:rsid w:val="00BA32A8"/>
    <w:rsid w:val="00BA608C"/>
    <w:rsid w:val="00BB2BB1"/>
    <w:rsid w:val="00BB2BCD"/>
    <w:rsid w:val="00BB3253"/>
    <w:rsid w:val="00BB56CD"/>
    <w:rsid w:val="00BB578C"/>
    <w:rsid w:val="00BB7CFF"/>
    <w:rsid w:val="00BC0363"/>
    <w:rsid w:val="00BC0B22"/>
    <w:rsid w:val="00BC22B9"/>
    <w:rsid w:val="00BC2B28"/>
    <w:rsid w:val="00BC3552"/>
    <w:rsid w:val="00BC3886"/>
    <w:rsid w:val="00BC5C90"/>
    <w:rsid w:val="00BC6F4D"/>
    <w:rsid w:val="00BD226F"/>
    <w:rsid w:val="00BD3C81"/>
    <w:rsid w:val="00BD3F2B"/>
    <w:rsid w:val="00BD7B03"/>
    <w:rsid w:val="00BE0629"/>
    <w:rsid w:val="00BE2546"/>
    <w:rsid w:val="00BE2867"/>
    <w:rsid w:val="00BE2AFB"/>
    <w:rsid w:val="00BE3FFC"/>
    <w:rsid w:val="00BF026D"/>
    <w:rsid w:val="00BF04ED"/>
    <w:rsid w:val="00BF052D"/>
    <w:rsid w:val="00BF21D2"/>
    <w:rsid w:val="00BF3194"/>
    <w:rsid w:val="00BF3A11"/>
    <w:rsid w:val="00BF55D0"/>
    <w:rsid w:val="00BF75EE"/>
    <w:rsid w:val="00C018A7"/>
    <w:rsid w:val="00C02A8B"/>
    <w:rsid w:val="00C030F4"/>
    <w:rsid w:val="00C055B8"/>
    <w:rsid w:val="00C05D11"/>
    <w:rsid w:val="00C102D9"/>
    <w:rsid w:val="00C1135D"/>
    <w:rsid w:val="00C11B28"/>
    <w:rsid w:val="00C11D6F"/>
    <w:rsid w:val="00C127E0"/>
    <w:rsid w:val="00C12E02"/>
    <w:rsid w:val="00C1425C"/>
    <w:rsid w:val="00C14529"/>
    <w:rsid w:val="00C2036A"/>
    <w:rsid w:val="00C20E2B"/>
    <w:rsid w:val="00C2160A"/>
    <w:rsid w:val="00C21F8D"/>
    <w:rsid w:val="00C23B8B"/>
    <w:rsid w:val="00C25DBA"/>
    <w:rsid w:val="00C26619"/>
    <w:rsid w:val="00C26A19"/>
    <w:rsid w:val="00C26F22"/>
    <w:rsid w:val="00C27461"/>
    <w:rsid w:val="00C30AE1"/>
    <w:rsid w:val="00C31026"/>
    <w:rsid w:val="00C310D5"/>
    <w:rsid w:val="00C31B9B"/>
    <w:rsid w:val="00C332F4"/>
    <w:rsid w:val="00C33738"/>
    <w:rsid w:val="00C3557D"/>
    <w:rsid w:val="00C3776A"/>
    <w:rsid w:val="00C379EE"/>
    <w:rsid w:val="00C37AB7"/>
    <w:rsid w:val="00C40122"/>
    <w:rsid w:val="00C41CB4"/>
    <w:rsid w:val="00C41F06"/>
    <w:rsid w:val="00C43679"/>
    <w:rsid w:val="00C43FB3"/>
    <w:rsid w:val="00C4400C"/>
    <w:rsid w:val="00C47BFF"/>
    <w:rsid w:val="00C50E21"/>
    <w:rsid w:val="00C51060"/>
    <w:rsid w:val="00C52981"/>
    <w:rsid w:val="00C5543B"/>
    <w:rsid w:val="00C5612E"/>
    <w:rsid w:val="00C577A9"/>
    <w:rsid w:val="00C6030D"/>
    <w:rsid w:val="00C63C1D"/>
    <w:rsid w:val="00C647B9"/>
    <w:rsid w:val="00C6515C"/>
    <w:rsid w:val="00C65FBB"/>
    <w:rsid w:val="00C67E0E"/>
    <w:rsid w:val="00C7387A"/>
    <w:rsid w:val="00C73A9C"/>
    <w:rsid w:val="00C75C9F"/>
    <w:rsid w:val="00C81A00"/>
    <w:rsid w:val="00C81B93"/>
    <w:rsid w:val="00C833ED"/>
    <w:rsid w:val="00C85BC9"/>
    <w:rsid w:val="00C86E4E"/>
    <w:rsid w:val="00C9053B"/>
    <w:rsid w:val="00C90FB3"/>
    <w:rsid w:val="00C919DE"/>
    <w:rsid w:val="00C92192"/>
    <w:rsid w:val="00C92497"/>
    <w:rsid w:val="00C93C05"/>
    <w:rsid w:val="00C93D5F"/>
    <w:rsid w:val="00C941A5"/>
    <w:rsid w:val="00C95F7B"/>
    <w:rsid w:val="00C96B81"/>
    <w:rsid w:val="00CA3E6A"/>
    <w:rsid w:val="00CA4703"/>
    <w:rsid w:val="00CA4889"/>
    <w:rsid w:val="00CA571A"/>
    <w:rsid w:val="00CA59B1"/>
    <w:rsid w:val="00CA6B58"/>
    <w:rsid w:val="00CB0E2E"/>
    <w:rsid w:val="00CB1345"/>
    <w:rsid w:val="00CB26AB"/>
    <w:rsid w:val="00CB2998"/>
    <w:rsid w:val="00CB3B43"/>
    <w:rsid w:val="00CB4621"/>
    <w:rsid w:val="00CB495F"/>
    <w:rsid w:val="00CB655D"/>
    <w:rsid w:val="00CB6C10"/>
    <w:rsid w:val="00CB703B"/>
    <w:rsid w:val="00CB725F"/>
    <w:rsid w:val="00CB77B5"/>
    <w:rsid w:val="00CB79F7"/>
    <w:rsid w:val="00CC4D4A"/>
    <w:rsid w:val="00CD32B8"/>
    <w:rsid w:val="00CD6A84"/>
    <w:rsid w:val="00CE1B6E"/>
    <w:rsid w:val="00CE358F"/>
    <w:rsid w:val="00CE3591"/>
    <w:rsid w:val="00CE6C13"/>
    <w:rsid w:val="00CE7A37"/>
    <w:rsid w:val="00CF3873"/>
    <w:rsid w:val="00CF3CFB"/>
    <w:rsid w:val="00CF4A56"/>
    <w:rsid w:val="00CF5784"/>
    <w:rsid w:val="00D02294"/>
    <w:rsid w:val="00D03672"/>
    <w:rsid w:val="00D038D9"/>
    <w:rsid w:val="00D04269"/>
    <w:rsid w:val="00D05140"/>
    <w:rsid w:val="00D06C40"/>
    <w:rsid w:val="00D07066"/>
    <w:rsid w:val="00D07808"/>
    <w:rsid w:val="00D0792D"/>
    <w:rsid w:val="00D101BF"/>
    <w:rsid w:val="00D10492"/>
    <w:rsid w:val="00D10C69"/>
    <w:rsid w:val="00D12E1B"/>
    <w:rsid w:val="00D1466F"/>
    <w:rsid w:val="00D15B4D"/>
    <w:rsid w:val="00D16CB3"/>
    <w:rsid w:val="00D2124C"/>
    <w:rsid w:val="00D21688"/>
    <w:rsid w:val="00D2418A"/>
    <w:rsid w:val="00D2585D"/>
    <w:rsid w:val="00D25E70"/>
    <w:rsid w:val="00D2625F"/>
    <w:rsid w:val="00D2652F"/>
    <w:rsid w:val="00D26EDB"/>
    <w:rsid w:val="00D33CBC"/>
    <w:rsid w:val="00D3495D"/>
    <w:rsid w:val="00D34ABA"/>
    <w:rsid w:val="00D35311"/>
    <w:rsid w:val="00D35BE0"/>
    <w:rsid w:val="00D40D83"/>
    <w:rsid w:val="00D40F39"/>
    <w:rsid w:val="00D4105D"/>
    <w:rsid w:val="00D445C6"/>
    <w:rsid w:val="00D4720D"/>
    <w:rsid w:val="00D53018"/>
    <w:rsid w:val="00D540F2"/>
    <w:rsid w:val="00D553B8"/>
    <w:rsid w:val="00D56F95"/>
    <w:rsid w:val="00D57FD6"/>
    <w:rsid w:val="00D60358"/>
    <w:rsid w:val="00D64653"/>
    <w:rsid w:val="00D64758"/>
    <w:rsid w:val="00D6486C"/>
    <w:rsid w:val="00D64C7A"/>
    <w:rsid w:val="00D66DDD"/>
    <w:rsid w:val="00D71C9C"/>
    <w:rsid w:val="00D72075"/>
    <w:rsid w:val="00D7227A"/>
    <w:rsid w:val="00D7298E"/>
    <w:rsid w:val="00D73958"/>
    <w:rsid w:val="00D754EC"/>
    <w:rsid w:val="00D756DC"/>
    <w:rsid w:val="00D775B1"/>
    <w:rsid w:val="00D809EB"/>
    <w:rsid w:val="00D81CF9"/>
    <w:rsid w:val="00D82E27"/>
    <w:rsid w:val="00D83744"/>
    <w:rsid w:val="00D86A0D"/>
    <w:rsid w:val="00D873D2"/>
    <w:rsid w:val="00D875DC"/>
    <w:rsid w:val="00D90C82"/>
    <w:rsid w:val="00D921F8"/>
    <w:rsid w:val="00D93E9D"/>
    <w:rsid w:val="00D955C3"/>
    <w:rsid w:val="00D95727"/>
    <w:rsid w:val="00D95E42"/>
    <w:rsid w:val="00D96F30"/>
    <w:rsid w:val="00D97839"/>
    <w:rsid w:val="00DA0A1D"/>
    <w:rsid w:val="00DA15EC"/>
    <w:rsid w:val="00DA32D9"/>
    <w:rsid w:val="00DA5B24"/>
    <w:rsid w:val="00DA78CF"/>
    <w:rsid w:val="00DA7FDF"/>
    <w:rsid w:val="00DB174D"/>
    <w:rsid w:val="00DB263B"/>
    <w:rsid w:val="00DB62F7"/>
    <w:rsid w:val="00DB63AD"/>
    <w:rsid w:val="00DB6458"/>
    <w:rsid w:val="00DB649F"/>
    <w:rsid w:val="00DB6CF9"/>
    <w:rsid w:val="00DB6E07"/>
    <w:rsid w:val="00DB6E45"/>
    <w:rsid w:val="00DB759A"/>
    <w:rsid w:val="00DC041F"/>
    <w:rsid w:val="00DC3F4B"/>
    <w:rsid w:val="00DC483D"/>
    <w:rsid w:val="00DC586E"/>
    <w:rsid w:val="00DC5BB4"/>
    <w:rsid w:val="00DC5CE7"/>
    <w:rsid w:val="00DC68D9"/>
    <w:rsid w:val="00DC7BB8"/>
    <w:rsid w:val="00DD110E"/>
    <w:rsid w:val="00DD169C"/>
    <w:rsid w:val="00DD2E95"/>
    <w:rsid w:val="00DD2F67"/>
    <w:rsid w:val="00DD3B40"/>
    <w:rsid w:val="00DD583E"/>
    <w:rsid w:val="00DE18BA"/>
    <w:rsid w:val="00DE2A72"/>
    <w:rsid w:val="00DE2A7A"/>
    <w:rsid w:val="00DE3173"/>
    <w:rsid w:val="00DE3284"/>
    <w:rsid w:val="00DE3945"/>
    <w:rsid w:val="00DE4FB7"/>
    <w:rsid w:val="00DE77FD"/>
    <w:rsid w:val="00DE79D7"/>
    <w:rsid w:val="00DF5E01"/>
    <w:rsid w:val="00E01CC9"/>
    <w:rsid w:val="00E01EFD"/>
    <w:rsid w:val="00E028B2"/>
    <w:rsid w:val="00E03D1C"/>
    <w:rsid w:val="00E04143"/>
    <w:rsid w:val="00E05BE5"/>
    <w:rsid w:val="00E060D6"/>
    <w:rsid w:val="00E066C0"/>
    <w:rsid w:val="00E106BD"/>
    <w:rsid w:val="00E146B1"/>
    <w:rsid w:val="00E20A25"/>
    <w:rsid w:val="00E21FEE"/>
    <w:rsid w:val="00E23658"/>
    <w:rsid w:val="00E25357"/>
    <w:rsid w:val="00E25F65"/>
    <w:rsid w:val="00E26451"/>
    <w:rsid w:val="00E27385"/>
    <w:rsid w:val="00E2794B"/>
    <w:rsid w:val="00E27C3A"/>
    <w:rsid w:val="00E27EDE"/>
    <w:rsid w:val="00E27F8E"/>
    <w:rsid w:val="00E31658"/>
    <w:rsid w:val="00E326AC"/>
    <w:rsid w:val="00E32797"/>
    <w:rsid w:val="00E328C2"/>
    <w:rsid w:val="00E32F56"/>
    <w:rsid w:val="00E3393E"/>
    <w:rsid w:val="00E35284"/>
    <w:rsid w:val="00E35375"/>
    <w:rsid w:val="00E3573C"/>
    <w:rsid w:val="00E419D4"/>
    <w:rsid w:val="00E42080"/>
    <w:rsid w:val="00E422F2"/>
    <w:rsid w:val="00E43C5C"/>
    <w:rsid w:val="00E51067"/>
    <w:rsid w:val="00E54FEF"/>
    <w:rsid w:val="00E57147"/>
    <w:rsid w:val="00E5752D"/>
    <w:rsid w:val="00E61EC7"/>
    <w:rsid w:val="00E620C2"/>
    <w:rsid w:val="00E62E1F"/>
    <w:rsid w:val="00E638C4"/>
    <w:rsid w:val="00E645DF"/>
    <w:rsid w:val="00E677D3"/>
    <w:rsid w:val="00E71EC0"/>
    <w:rsid w:val="00E72F9B"/>
    <w:rsid w:val="00E72FE4"/>
    <w:rsid w:val="00E74CB1"/>
    <w:rsid w:val="00E74FEA"/>
    <w:rsid w:val="00E756B7"/>
    <w:rsid w:val="00E76252"/>
    <w:rsid w:val="00E764AC"/>
    <w:rsid w:val="00E76E7D"/>
    <w:rsid w:val="00E8228C"/>
    <w:rsid w:val="00E83612"/>
    <w:rsid w:val="00E84469"/>
    <w:rsid w:val="00E85149"/>
    <w:rsid w:val="00E85A0E"/>
    <w:rsid w:val="00E86121"/>
    <w:rsid w:val="00E8682B"/>
    <w:rsid w:val="00E87A02"/>
    <w:rsid w:val="00E90AA5"/>
    <w:rsid w:val="00E91CD0"/>
    <w:rsid w:val="00E95F5C"/>
    <w:rsid w:val="00EA3113"/>
    <w:rsid w:val="00EA3676"/>
    <w:rsid w:val="00EA5EAB"/>
    <w:rsid w:val="00EB0D64"/>
    <w:rsid w:val="00EB15EE"/>
    <w:rsid w:val="00EB2A3F"/>
    <w:rsid w:val="00EB3A0D"/>
    <w:rsid w:val="00EB3B53"/>
    <w:rsid w:val="00EB55D4"/>
    <w:rsid w:val="00EC02FD"/>
    <w:rsid w:val="00EC276C"/>
    <w:rsid w:val="00EC339A"/>
    <w:rsid w:val="00EC4F20"/>
    <w:rsid w:val="00EC5A17"/>
    <w:rsid w:val="00EC6043"/>
    <w:rsid w:val="00EC7AF3"/>
    <w:rsid w:val="00EC7EEA"/>
    <w:rsid w:val="00ED0B33"/>
    <w:rsid w:val="00ED0F73"/>
    <w:rsid w:val="00ED182B"/>
    <w:rsid w:val="00ED239B"/>
    <w:rsid w:val="00ED5C55"/>
    <w:rsid w:val="00EE10CD"/>
    <w:rsid w:val="00EE2150"/>
    <w:rsid w:val="00EE3795"/>
    <w:rsid w:val="00EE46DF"/>
    <w:rsid w:val="00EE6DBD"/>
    <w:rsid w:val="00EE7FB9"/>
    <w:rsid w:val="00EF1525"/>
    <w:rsid w:val="00EF5A62"/>
    <w:rsid w:val="00F0210E"/>
    <w:rsid w:val="00F02379"/>
    <w:rsid w:val="00F02B47"/>
    <w:rsid w:val="00F04027"/>
    <w:rsid w:val="00F04B99"/>
    <w:rsid w:val="00F106E8"/>
    <w:rsid w:val="00F10B12"/>
    <w:rsid w:val="00F11385"/>
    <w:rsid w:val="00F12B2B"/>
    <w:rsid w:val="00F2009C"/>
    <w:rsid w:val="00F211F1"/>
    <w:rsid w:val="00F2410B"/>
    <w:rsid w:val="00F24204"/>
    <w:rsid w:val="00F25DF0"/>
    <w:rsid w:val="00F262F0"/>
    <w:rsid w:val="00F34228"/>
    <w:rsid w:val="00F346D4"/>
    <w:rsid w:val="00F354BD"/>
    <w:rsid w:val="00F37921"/>
    <w:rsid w:val="00F37ADD"/>
    <w:rsid w:val="00F408E5"/>
    <w:rsid w:val="00F43F81"/>
    <w:rsid w:val="00F45440"/>
    <w:rsid w:val="00F47816"/>
    <w:rsid w:val="00F47AB3"/>
    <w:rsid w:val="00F50484"/>
    <w:rsid w:val="00F52365"/>
    <w:rsid w:val="00F529F1"/>
    <w:rsid w:val="00F52E33"/>
    <w:rsid w:val="00F52E6F"/>
    <w:rsid w:val="00F532D1"/>
    <w:rsid w:val="00F53653"/>
    <w:rsid w:val="00F53D26"/>
    <w:rsid w:val="00F55C03"/>
    <w:rsid w:val="00F60FFF"/>
    <w:rsid w:val="00F614CB"/>
    <w:rsid w:val="00F61C82"/>
    <w:rsid w:val="00F61F66"/>
    <w:rsid w:val="00F62CD8"/>
    <w:rsid w:val="00F63305"/>
    <w:rsid w:val="00F63FA0"/>
    <w:rsid w:val="00F67240"/>
    <w:rsid w:val="00F70330"/>
    <w:rsid w:val="00F7104A"/>
    <w:rsid w:val="00F71738"/>
    <w:rsid w:val="00F7795D"/>
    <w:rsid w:val="00F800E1"/>
    <w:rsid w:val="00F8088B"/>
    <w:rsid w:val="00F8110A"/>
    <w:rsid w:val="00F82A81"/>
    <w:rsid w:val="00F84B37"/>
    <w:rsid w:val="00F855B0"/>
    <w:rsid w:val="00F86C29"/>
    <w:rsid w:val="00F86D9F"/>
    <w:rsid w:val="00F9039D"/>
    <w:rsid w:val="00F909D8"/>
    <w:rsid w:val="00F910AC"/>
    <w:rsid w:val="00F960F5"/>
    <w:rsid w:val="00F97256"/>
    <w:rsid w:val="00F973FC"/>
    <w:rsid w:val="00F97744"/>
    <w:rsid w:val="00F97E31"/>
    <w:rsid w:val="00FA1589"/>
    <w:rsid w:val="00FA2010"/>
    <w:rsid w:val="00FA5F97"/>
    <w:rsid w:val="00FB04AB"/>
    <w:rsid w:val="00FB0625"/>
    <w:rsid w:val="00FB066C"/>
    <w:rsid w:val="00FB327C"/>
    <w:rsid w:val="00FB48C6"/>
    <w:rsid w:val="00FB5C1C"/>
    <w:rsid w:val="00FB7808"/>
    <w:rsid w:val="00FC380A"/>
    <w:rsid w:val="00FC3A5E"/>
    <w:rsid w:val="00FC48C6"/>
    <w:rsid w:val="00FC56E1"/>
    <w:rsid w:val="00FC615B"/>
    <w:rsid w:val="00FC618A"/>
    <w:rsid w:val="00FC693A"/>
    <w:rsid w:val="00FD12FE"/>
    <w:rsid w:val="00FD3011"/>
    <w:rsid w:val="00FD4715"/>
    <w:rsid w:val="00FD4C22"/>
    <w:rsid w:val="00FD5A26"/>
    <w:rsid w:val="00FD5EDB"/>
    <w:rsid w:val="00FD7139"/>
    <w:rsid w:val="00FE2653"/>
    <w:rsid w:val="00FE2E4F"/>
    <w:rsid w:val="00FE32A2"/>
    <w:rsid w:val="00FE38BA"/>
    <w:rsid w:val="00FE5716"/>
    <w:rsid w:val="00FE68EF"/>
    <w:rsid w:val="00FE74AD"/>
    <w:rsid w:val="00FE7695"/>
    <w:rsid w:val="00FF1600"/>
    <w:rsid w:val="00FF365F"/>
    <w:rsid w:val="00FF44AC"/>
    <w:rsid w:val="00FF51C9"/>
    <w:rsid w:val="00FF5EB7"/>
    <w:rsid w:val="00FF6697"/>
    <w:rsid w:val="00FF7728"/>
    <w:rsid w:val="00FF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43DFA54"/>
  <w15:docId w15:val="{F2F04DCD-2F2E-49C4-A6D6-D2AFA3C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styleId="Revision">
    <w:name w:val="Revision"/>
    <w:hidden/>
    <w:uiPriority w:val="99"/>
    <w:semiHidden/>
    <w:rsid w:val="00E87A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4118">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357901393">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90676905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195535494">
      <w:bodyDiv w:val="1"/>
      <w:marLeft w:val="0"/>
      <w:marRight w:val="0"/>
      <w:marTop w:val="0"/>
      <w:marBottom w:val="0"/>
      <w:divBdr>
        <w:top w:val="none" w:sz="0" w:space="0" w:color="auto"/>
        <w:left w:val="none" w:sz="0" w:space="0" w:color="auto"/>
        <w:bottom w:val="none" w:sz="0" w:space="0" w:color="auto"/>
        <w:right w:val="none" w:sz="0" w:space="0" w:color="auto"/>
      </w:divBdr>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57779312">
      <w:bodyDiv w:val="1"/>
      <w:marLeft w:val="0"/>
      <w:marRight w:val="0"/>
      <w:marTop w:val="0"/>
      <w:marBottom w:val="0"/>
      <w:divBdr>
        <w:top w:val="none" w:sz="0" w:space="0" w:color="auto"/>
        <w:left w:val="none" w:sz="0" w:space="0" w:color="auto"/>
        <w:bottom w:val="none" w:sz="0" w:space="0" w:color="auto"/>
        <w:right w:val="none" w:sz="0" w:space="0" w:color="auto"/>
      </w:divBdr>
      <w:divsChild>
        <w:div w:id="519123986">
          <w:marLeft w:val="806"/>
          <w:marRight w:val="0"/>
          <w:marTop w:val="0"/>
          <w:marBottom w:val="0"/>
          <w:divBdr>
            <w:top w:val="none" w:sz="0" w:space="0" w:color="auto"/>
            <w:left w:val="none" w:sz="0" w:space="0" w:color="auto"/>
            <w:bottom w:val="none" w:sz="0" w:space="0" w:color="auto"/>
            <w:right w:val="none" w:sz="0" w:space="0" w:color="auto"/>
          </w:divBdr>
        </w:div>
        <w:div w:id="276715539">
          <w:marLeft w:val="806"/>
          <w:marRight w:val="0"/>
          <w:marTop w:val="0"/>
          <w:marBottom w:val="0"/>
          <w:divBdr>
            <w:top w:val="none" w:sz="0" w:space="0" w:color="auto"/>
            <w:left w:val="none" w:sz="0" w:space="0" w:color="auto"/>
            <w:bottom w:val="none" w:sz="0" w:space="0" w:color="auto"/>
            <w:right w:val="none" w:sz="0" w:space="0" w:color="auto"/>
          </w:divBdr>
        </w:div>
        <w:div w:id="276134275">
          <w:marLeft w:val="806"/>
          <w:marRight w:val="0"/>
          <w:marTop w:val="0"/>
          <w:marBottom w:val="0"/>
          <w:divBdr>
            <w:top w:val="none" w:sz="0" w:space="0" w:color="auto"/>
            <w:left w:val="none" w:sz="0" w:space="0" w:color="auto"/>
            <w:bottom w:val="none" w:sz="0" w:space="0" w:color="auto"/>
            <w:right w:val="none" w:sz="0" w:space="0" w:color="auto"/>
          </w:divBdr>
        </w:div>
      </w:divsChild>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0405">
      <w:bodyDiv w:val="1"/>
      <w:marLeft w:val="0"/>
      <w:marRight w:val="0"/>
      <w:marTop w:val="0"/>
      <w:marBottom w:val="0"/>
      <w:divBdr>
        <w:top w:val="none" w:sz="0" w:space="0" w:color="auto"/>
        <w:left w:val="none" w:sz="0" w:space="0" w:color="auto"/>
        <w:bottom w:val="none" w:sz="0" w:space="0" w:color="auto"/>
        <w:right w:val="none" w:sz="0" w:space="0" w:color="auto"/>
      </w:divBdr>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beal@westlondonwas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64A7-A34C-464F-B8BF-57BF7A3B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16302</CharactersWithSpaces>
  <SharedDoc>false</SharedDoc>
  <HLinks>
    <vt:vector size="6" baseType="variant">
      <vt:variant>
        <vt:i4>4980771</vt:i4>
      </vt:variant>
      <vt:variant>
        <vt:i4>3</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dc:description/>
  <cp:lastModifiedBy>Emma Beal</cp:lastModifiedBy>
  <cp:revision>12</cp:revision>
  <cp:lastPrinted>2022-09-12T12:18:00Z</cp:lastPrinted>
  <dcterms:created xsi:type="dcterms:W3CDTF">2023-06-03T09:25:00Z</dcterms:created>
  <dcterms:modified xsi:type="dcterms:W3CDTF">2023-06-15T07:08:00Z</dcterms:modified>
</cp:coreProperties>
</file>